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344"/>
        <w:gridCol w:w="2376"/>
      </w:tblGrid>
      <w:tr>
        <w:tc>
          <w:tcPr>
            <w:tcW w:type="dxa" w:w="5083"/>
            <w:tcMar>
              <w:top w:w="0" w:type="dxa"/>
              <w:start w:w="0" w:type="dxa"/>
              <w:bottom w:w="0" w:type="dxa"/>
              <w:end w:w="0" w:type="dxa"/>
            </w:tcMar>
            <w:tcBorders>
              <w:top w:val="nil"/>
              <w:left w:val="nil"/>
              <w:bottom w:val="nil"/>
              <w:right w:val="nil"/>
              <w:insideH w:val="nil"/>
              <w:insideV w:val="nil"/>
            </w:tcBorders>
          </w:tcPr>
          <w:p/>
        </w:tc>
        <w:tc>
          <w:tcPr>
            <w:tcW w:type="dxa" w:w="5083"/>
            <w:tcMar>
              <w:top w:w="0" w:type="dxa"/>
              <w:start w:w="0" w:type="dxa"/>
              <w:bottom w:w="0" w:type="dxa"/>
              <w:end w:w="0" w:type="dxa"/>
            </w:tcMar>
            <w:tcBorders>
              <w:top w:val="nil"/>
              <w:left w:val="nil"/>
              <w:bottom w:val="nil"/>
              <w:right w:val="nil"/>
              <w:insideH w:val="nil"/>
              <w:insideV w:val="nil"/>
            </w:tcBorders>
          </w:tcPr>
          <w:p>
            <w:pPr>
              <w:jc w:val="right"/>
            </w:pPr>
            <w:r>
              <w:drawing>
                <wp:inline xmlns:a="http://schemas.openxmlformats.org/drawingml/2006/main" xmlns:pic="http://schemas.openxmlformats.org/drawingml/2006/picture">
                  <wp:extent cx="1325880" cy="440396"/>
                  <wp:docPr id="1" name="Picture 1"/>
                  <wp:cNvGraphicFramePr>
                    <a:graphicFrameLocks noChangeAspect="1"/>
                  </wp:cNvGraphicFramePr>
                  <a:graphic>
                    <a:graphicData uri="http://schemas.openxmlformats.org/drawingml/2006/picture">
                      <pic:pic>
                        <pic:nvPicPr>
                          <pic:cNvPr id="0" name="logma_logo.png"/>
                          <pic:cNvPicPr/>
                        </pic:nvPicPr>
                        <pic:blipFill>
                          <a:blip r:embed="rId9"/>
                          <a:stretch>
                            <a:fillRect/>
                          </a:stretch>
                        </pic:blipFill>
                        <pic:spPr>
                          <a:xfrm>
                            <a:off x="0" y="0"/>
                            <a:ext cx="1325880" cy="440396"/>
                          </a:xfrm>
                          <a:prstGeom prst="rect"/>
                        </pic:spPr>
                      </pic:pic>
                    </a:graphicData>
                  </a:graphic>
                </wp:inline>
              </w:drawing>
            </w:r>
          </w:p>
        </w:tc>
      </w:tr>
    </w:tbl>
    <w:p>
      <w:pPr>
        <w:pStyle w:val="Title"/>
      </w:pPr>
      <w:r>
        <w:t>Made Smarter Manufacturing Infrastructure Evidence</w:t>
      </w:r>
    </w:p>
    <w:p>
      <w:pPr>
        <w:spacing w:after="180"/>
      </w:pPr>
      <w:r>
        <w:rPr>
          <w:b/>
          <w:color w:val="17365D"/>
          <w:sz w:val="23"/>
        </w:rPr>
        <w:t>OneFit ERP supported by R and J Builders Hardware</w:t>
      </w:r>
    </w:p>
    <w:p>
      <w:r>
        <w:rPr>
          <w:b/>
        </w:rPr>
        <w:t xml:space="preserve">Purpose. </w:t>
      </w:r>
      <w:r>
        <w:t>This one-page document demonstrates how OneFit provides connected digital infrastructure that supports operational control, higher transaction volumes and continued business growth.</w:t>
      </w:r>
    </w:p>
    <w:p>
      <w:pPr>
        <w:pStyle w:val="Heading1"/>
      </w:pPr>
      <w:r>
        <w:t>Business challenge</w:t>
      </w:r>
    </w:p>
    <w:p>
      <w:r>
        <w:t>Growing businesses can be restricted by outdated or disconnected systems that process orders slowly and provide limited visibility across stock, warehousing, van loading, route planning and delivery. This makes scaling more difficult and increases operational risk.</w:t>
      </w:r>
    </w:p>
    <w:p>
      <w:pPr>
        <w:pStyle w:val="Heading1"/>
      </w:pPr>
      <w:r>
        <w:t>How OneFit solves the challenge</w:t>
      </w:r>
    </w:p>
    <w:p>
      <w:pPr>
        <w:pStyle w:val="ListBullet"/>
        <w:spacing w:after="40"/>
      </w:pPr>
      <w:r>
        <w:t>Provides a single integrated platform linking order processing, warehouse activity and delivery operations.</w:t>
      </w:r>
    </w:p>
    <w:p>
      <w:pPr>
        <w:pStyle w:val="ListBullet"/>
        <w:spacing w:after="40"/>
      </w:pPr>
      <w:r>
        <w:t>Uses barcoding and controlled package loading to improve accuracy and security.</w:t>
      </w:r>
    </w:p>
    <w:p>
      <w:pPr>
        <w:pStyle w:val="ListBullet"/>
        <w:spacing w:after="40"/>
      </w:pPr>
      <w:r>
        <w:t>Connects route planning and proof of delivery directly to the back-office system.</w:t>
      </w:r>
    </w:p>
    <w:p>
      <w:pPr>
        <w:pStyle w:val="ListBullet"/>
        <w:spacing w:after="40"/>
      </w:pPr>
      <w:r>
        <w:t>Creates continuous order flow from multiple sales channels with full packing traceability.</w:t>
      </w:r>
    </w:p>
    <w:p>
      <w:pPr>
        <w:pStyle w:val="ListBullet"/>
        <w:spacing w:after="40"/>
      </w:pPr>
      <w:r>
        <w:t>Offers modular infrastructure that can be developed as operational requirements change.</w:t>
      </w:r>
    </w:p>
    <w:p>
      <w:pPr>
        <w:pStyle w:val="Heading1"/>
      </w:pPr>
      <w:r>
        <w:t>Published customer evidence</w:t>
      </w:r>
    </w:p>
    <w:p>
      <w:r>
        <w:rPr>
          <w:b/>
        </w:rPr>
        <w:t xml:space="preserve">R and J Builders Hardware. </w:t>
      </w:r>
      <w:r>
        <w:t>The family business adopted OneFit to replace an outdated system and support an operation involving thousands of stock items, a large workforce and a growing vehicle fleet.</w:t>
      </w:r>
    </w:p>
    <w:tbl>
      <w:tblPr>
        <w:tblW w:type="auto" w:w="0"/>
        <w:jc w:val="center"/>
        <w:tblLayout w:type="fixed"/>
        <w:tblLook w:firstColumn="1" w:firstRow="1" w:lastColumn="0" w:lastRow="0" w:noHBand="0" w:noVBand="1" w:val="04A0"/>
        <w:tblBorders>
          <w:top w:val="single" w:sz="6" w:space="0" w:color="D9E1E8"/>
          <w:left w:val="single" w:sz="6" w:space="0" w:color="D9E1E8"/>
          <w:bottom w:val="single" w:sz="6" w:space="0" w:color="D9E1E8"/>
          <w:right w:val="single" w:sz="6" w:space="0" w:color="D9E1E8"/>
          <w:insideH w:val="single" w:sz="6" w:space="0" w:color="D9E1E8"/>
          <w:insideV w:val="single" w:sz="6" w:space="0" w:color="D9E1E8"/>
        </w:tblBorders>
      </w:tblPr>
      <w:tblGrid>
        <w:gridCol w:w="2952"/>
        <w:gridCol w:w="6984"/>
      </w:tblGrid>
      <w:tr>
        <w:tc>
          <w:tcPr>
            <w:tcW w:type="dxa" w:w="5083"/>
            <w:shd w:fill="17365D"/>
            <w:tcMar>
              <w:top w:w="105" w:type="dxa"/>
              <w:start w:w="125" w:type="dxa"/>
              <w:bottom w:w="105" w:type="dxa"/>
              <w:end w:w="125" w:type="dxa"/>
            </w:tcMar>
          </w:tcPr>
          <w:p>
            <w:r>
              <w:rPr>
                <w:b/>
                <w:color w:val="FFFFFF"/>
              </w:rPr>
              <w:t>Demonstrated outcome</w:t>
            </w:r>
          </w:p>
        </w:tc>
        <w:tc>
          <w:tcPr>
            <w:tcW w:type="dxa" w:w="5083"/>
            <w:shd w:fill="17365D"/>
            <w:tcMar>
              <w:top w:w="105" w:type="dxa"/>
              <w:start w:w="125" w:type="dxa"/>
              <w:bottom w:w="105" w:type="dxa"/>
              <w:end w:w="125" w:type="dxa"/>
            </w:tcMar>
          </w:tcPr>
          <w:p>
            <w:r>
              <w:rPr>
                <w:b/>
                <w:color w:val="FFFFFF"/>
              </w:rPr>
              <w:t>Customer result</w:t>
            </w:r>
          </w:p>
        </w:tc>
      </w:tr>
      <w:tr>
        <w:tc>
          <w:tcPr>
            <w:tcW w:type="dxa" w:w="2952"/>
            <w:tcMar>
              <w:top w:w="105" w:type="dxa"/>
              <w:start w:w="125" w:type="dxa"/>
              <w:bottom w:w="105" w:type="dxa"/>
              <w:end w:w="125" w:type="dxa"/>
            </w:tcMar>
            <w:vAlign w:val="center"/>
          </w:tcPr>
          <w:p>
            <w:pPr>
              <w:spacing w:after="0"/>
            </w:pPr>
            <w:r>
              <w:rPr>
                <w:b/>
              </w:rPr>
              <w:t>Order processing</w:t>
            </w:r>
          </w:p>
        </w:tc>
        <w:tc>
          <w:tcPr>
            <w:tcW w:type="dxa" w:w="6984"/>
            <w:tcMar>
              <w:top w:w="105" w:type="dxa"/>
              <w:start w:w="125" w:type="dxa"/>
              <w:bottom w:w="105" w:type="dxa"/>
              <w:end w:w="125" w:type="dxa"/>
            </w:tcMar>
            <w:vAlign w:val="center"/>
          </w:tcPr>
          <w:p>
            <w:pPr>
              <w:spacing w:after="0"/>
            </w:pPr>
            <w:r>
              <w:t>A process that previously took around 30 minutes was reduced to approximately 10 seconds.</w:t>
            </w:r>
          </w:p>
        </w:tc>
      </w:tr>
      <w:tr>
        <w:tc>
          <w:tcPr>
            <w:tcW w:type="dxa" w:w="2952"/>
            <w:tcMar>
              <w:top w:w="105" w:type="dxa"/>
              <w:start w:w="125" w:type="dxa"/>
              <w:bottom w:w="105" w:type="dxa"/>
              <w:end w:w="125" w:type="dxa"/>
            </w:tcMar>
            <w:vAlign w:val="center"/>
            <w:shd w:fill="EDF7F8"/>
          </w:tcPr>
          <w:p>
            <w:pPr>
              <w:spacing w:after="0"/>
            </w:pPr>
            <w:r>
              <w:rPr>
                <w:b/>
              </w:rPr>
              <w:t>Operational scale</w:t>
            </w:r>
          </w:p>
        </w:tc>
        <w:tc>
          <w:tcPr>
            <w:tcW w:type="dxa" w:w="6984"/>
            <w:tcMar>
              <w:top w:w="105" w:type="dxa"/>
              <w:start w:w="125" w:type="dxa"/>
              <w:bottom w:w="105" w:type="dxa"/>
              <w:end w:w="125" w:type="dxa"/>
            </w:tcMar>
            <w:vAlign w:val="center"/>
            <w:shd w:fill="EDF7F8"/>
          </w:tcPr>
          <w:p>
            <w:pPr>
              <w:spacing w:after="0"/>
            </w:pPr>
            <w:r>
              <w:t>The fleet grew from four company vans to 25 while secure loading and delivery processes were introduced.</w:t>
            </w:r>
          </w:p>
        </w:tc>
      </w:tr>
      <w:tr>
        <w:tc>
          <w:tcPr>
            <w:tcW w:type="dxa" w:w="2952"/>
            <w:tcMar>
              <w:top w:w="105" w:type="dxa"/>
              <w:start w:w="125" w:type="dxa"/>
              <w:bottom w:w="105" w:type="dxa"/>
              <w:end w:w="125" w:type="dxa"/>
            </w:tcMar>
            <w:vAlign w:val="center"/>
          </w:tcPr>
          <w:p>
            <w:pPr>
              <w:spacing w:after="0"/>
            </w:pPr>
            <w:r>
              <w:rPr>
                <w:b/>
              </w:rPr>
              <w:t>Warehouse control</w:t>
            </w:r>
          </w:p>
        </w:tc>
        <w:tc>
          <w:tcPr>
            <w:tcW w:type="dxa" w:w="6984"/>
            <w:tcMar>
              <w:top w:w="105" w:type="dxa"/>
              <w:start w:w="125" w:type="dxa"/>
              <w:bottom w:w="105" w:type="dxa"/>
              <w:end w:w="125" w:type="dxa"/>
            </w:tcMar>
            <w:vAlign w:val="center"/>
          </w:tcPr>
          <w:p>
            <w:pPr>
              <w:spacing w:after="0"/>
            </w:pPr>
            <w:r>
              <w:t>Continuous multichannel order flow and traceability improved ownership and allowed warehouse teams to finish on time.</w:t>
            </w:r>
          </w:p>
        </w:tc>
      </w:tr>
      <w:tr>
        <w:tc>
          <w:tcPr>
            <w:tcW w:type="dxa" w:w="2952"/>
            <w:tcMar>
              <w:top w:w="105" w:type="dxa"/>
              <w:start w:w="125" w:type="dxa"/>
              <w:bottom w:w="105" w:type="dxa"/>
              <w:end w:w="125" w:type="dxa"/>
            </w:tcMar>
            <w:vAlign w:val="center"/>
            <w:shd w:fill="EDF7F8"/>
          </w:tcPr>
          <w:p>
            <w:pPr>
              <w:spacing w:after="0"/>
            </w:pPr>
            <w:r>
              <w:rPr>
                <w:b/>
              </w:rPr>
              <w:t>Sustained growth</w:t>
            </w:r>
          </w:p>
        </w:tc>
        <w:tc>
          <w:tcPr>
            <w:tcW w:type="dxa" w:w="6984"/>
            <w:tcMar>
              <w:top w:w="105" w:type="dxa"/>
              <w:start w:w="125" w:type="dxa"/>
              <w:bottom w:w="105" w:type="dxa"/>
              <w:end w:w="125" w:type="dxa"/>
            </w:tcMar>
            <w:vAlign w:val="center"/>
            <w:shd w:fill="EDF7F8"/>
          </w:tcPr>
          <w:p>
            <w:pPr>
              <w:spacing w:after="0"/>
            </w:pPr>
            <w:r>
              <w:t>The customer reported year-on-year growth in sales volume while maintaining margins.</w:t>
            </w:r>
          </w:p>
        </w:tc>
      </w:tr>
    </w:tbl>
    <w:p>
      <w:pPr>
        <w:pStyle w:val="Heading1"/>
      </w:pPr>
      <w:r>
        <w:t>Why this evidence is relevant</w:t>
      </w:r>
    </w:p>
    <w:p>
      <w:r>
        <w:t>This evidence shows how OneFit acts as scalable operational infrastructure rather than a stand-alone application. It connects essential business functions, provides real-time control and creates the capacity needed to support growth without losing visibility or process discipline.</w:t>
      </w:r>
    </w:p>
    <w:p>
      <w:pPr>
        <w:spacing w:before="100" w:after="0"/>
      </w:pPr>
      <w:r>
        <w:rPr>
          <w:b/>
        </w:rPr>
        <w:t xml:space="preserve">Supporting customer testimonial: </w:t>
      </w:r>
      <w:hyperlink r:id="rId10">
        <w:r>
          <w:rPr>
            <w:color w:val="1597A5"/>
            <w:u w:val="single"/>
          </w:rPr>
          <w:t>R and J Builders Hardware OneFit case study</w:t>
        </w:r>
      </w:hyperlink>
    </w:p>
    <w:sectPr w:rsidR="00FC693F" w:rsidRPr="0006063C" w:rsidSect="00034616">
      <w:footerReference w:type="default" r:id="rId11"/>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Logma Systems Design Ltd   |   OneFit ERP Solutions   |   logma.co.uk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2D2D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onefitsoftware.com/OneFit%20Case%20Study%20(R%26J%20Builders%20Hardware).pdf"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 Smarter Manufacturing Infrastructure Evidence</dc:title>
  <dc:subject>OneFit ERP supported by R and J Builders Hardware</dc:subject>
  <dc:creator>Logma Systems Design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