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600"/>
        <w:gridCol w:w="8400"/>
      </w:tblGrid>
      <w:tr>
        <w:tc>
          <w:tcPr>
            <w:tcW w:type="dxa" w:w="600"/>
            <w:tcBorders>
              <w:top w:val="none" w:color="FFFFFF" w:sz="0"/>
              <w:left w:val="none" w:color="FFFFFF" w:sz="0"/>
              <w:bottom w:val="none" w:color="FFFFFF" w:sz="0"/>
              <w:right w:val="none" w:color="FFFFFF" w:sz="0"/>
            </w:tcBorders>
            <w:shd w:fill="C0202A" w:val="clear"/>
            <w:tcMar>
              <w:top w:type="dxa" w:w="0"/>
              <w:left w:type="dxa" w:w="0"/>
              <w:bottom w:type="dxa" w:w="0"/>
              <w:right w:type="dxa" w:w="0"/>
            </w:tcMar>
          </w:tcPr>
          <w:p>
            <w:r>
              <w:t xml:space="preserve"/>
            </w:r>
          </w:p>
        </w:tc>
        <w:tc>
          <w:tcPr>
            <w:tcW w:type="dxa" w:w="8400"/>
            <w:tcBorders>
              <w:top w:val="none" w:color="FFFFFF" w:sz="0"/>
              <w:left w:val="none" w:color="FFFFFF" w:sz="0"/>
              <w:bottom w:val="none" w:color="FFFFFF" w:sz="0"/>
              <w:right w:val="none" w:color="FFFFFF" w:sz="0"/>
            </w:tcBorders>
            <w:shd w:fill="FFFFFF" w:val="clear"/>
            <w:tcMar>
              <w:top w:type="dxa" w:w="120"/>
              <w:left w:type="dxa" w:w="240"/>
              <w:bottom w:type="dxa" w:w="120"/>
              <w:right w:type="dxa" w:w="0"/>
            </w:tcMar>
          </w:tcPr>
          <w:p>
            <w:pPr>
              <w:spacing w:after="80" w:before="0"/>
            </w:pPr>
            <w:r>
              <w:rPr>
                <w:rFonts w:ascii="Arial" w:cs="Arial" w:eastAsia="Arial" w:hAnsi="Arial"/>
                <w:b/>
                <w:bCs/>
                <w:color w:val="C0202A"/>
                <w:spacing w:val="60"/>
                <w:sz w:val="22"/>
                <w:szCs w:val="22"/>
              </w:rPr>
              <w:t xml:space="preserve">Case Study</w:t>
            </w:r>
          </w:p>
          <w:p>
            <w:pPr>
              <w:spacing w:after="60" w:before="0"/>
            </w:pPr>
            <w:r>
              <w:rPr>
                <w:rFonts w:ascii="Arial" w:cs="Arial" w:eastAsia="Arial" w:hAnsi="Arial"/>
                <w:b/>
                <w:bCs/>
                <w:color w:val="2C2C2C"/>
                <w:sz w:val="48"/>
                <w:szCs w:val="48"/>
              </w:rPr>
              <w:t xml:space="preserve">CIP Compliance &amp; Pre-Receipt</w:t>
            </w:r>
          </w:p>
          <w:p>
            <w:pPr>
              <w:spacing w:after="120" w:before="0"/>
            </w:pPr>
            <w:r>
              <w:rPr>
                <w:rFonts w:ascii="Arial" w:cs="Arial" w:eastAsia="Arial" w:hAnsi="Arial"/>
                <w:b/>
                <w:bCs/>
                <w:color w:val="C0202A"/>
                <w:sz w:val="48"/>
                <w:szCs w:val="48"/>
              </w:rPr>
              <w:t xml:space="preserve">Tank Audit System</w:t>
            </w:r>
          </w:p>
          <w:p>
            <w:pPr>
              <w:spacing w:after="0" w:before="0"/>
            </w:pPr>
            <w:r>
              <w:rPr>
                <w:rFonts w:ascii="Arial" w:cs="Arial" w:eastAsia="Arial" w:hAnsi="Arial"/>
                <w:color w:val="595959"/>
                <w:sz w:val="22"/>
                <w:szCs w:val="22"/>
              </w:rPr>
              <w:t xml:space="preserve">Dairy &amp; Food &amp; Beverage  |  AGAD Portal</w:t>
            </w:r>
          </w:p>
        </w:tc>
      </w:tr>
    </w:tbl>
    <w:p>
      <w:pPr>
        <w:spacing w:after="60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0E0E0" w:sz="2"/>
              <w:left w:val="none" w:color="FFFFFF" w:sz="0"/>
              <w:bottom w:val="none" w:color="FFFFFF" w:sz="0"/>
              <w:right w:val="none" w:color="FFFFFF" w:sz="0"/>
            </w:tcBorders>
            <w:shd w:fill="FFFFFF" w:val="clear"/>
            <w:tcMar>
              <w:top w:type="dxa" w:w="200"/>
              <w:left w:type="dxa" w:w="0"/>
              <w:bottom w:type="dxa" w:w="0"/>
              <w:right w:type="dxa" w:w="0"/>
            </w:tcMar>
          </w:tcPr>
          <w:p>
            <w:r>
              <w:rPr>
                <w:rFonts w:ascii="Arial" w:cs="Arial" w:eastAsia="Arial" w:hAnsi="Arial"/>
                <w:color w:val="999999"/>
                <w:sz w:val="18"/>
                <w:szCs w:val="18"/>
              </w:rPr>
              <w:t xml:space="preserve">Powered by Listo Ltd  |  agad-portal.com  |  agad@listo-ltd.com  |  +44 (0) 2892 674280</w:t>
            </w:r>
          </w:p>
        </w:tc>
      </w:tr>
    </w:tbl>
    <w:p>
      <w:r>
        <w:br w:type="page"/>
      </w:r>
    </w:p>
    <w:p>
      <w:pPr>
        <w:pBdr>
          <w:bottom w:val="single" w:color="C0202A" w:sz="8"/>
        </w:pBdr>
        <w:spacing w:after="160" w:before="320"/>
      </w:pPr>
      <w:r>
        <w:rPr>
          <w:rFonts w:ascii="Arial" w:cs="Arial" w:eastAsia="Arial" w:hAnsi="Arial"/>
          <w:b/>
          <w:bCs/>
          <w:color w:val="C0202A"/>
          <w:spacing w:val="40"/>
          <w:sz w:val="22"/>
          <w:szCs w:val="22"/>
        </w:rPr>
        <w:t xml:space="preserve">CLIENT OVERVIEW</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400"/>
        <w:gridCol w:w="6600"/>
      </w:tblGrid>
      <w:tr>
        <w:tc>
          <w:tcPr>
            <w:tcW w:type="dxa" w:w="2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b/>
                <w:bCs/>
                <w:color w:val="C0202A"/>
                <w:sz w:val="20"/>
                <w:szCs w:val="20"/>
              </w:rPr>
              <w:t xml:space="preserve">Sector</w:t>
            </w:r>
          </w:p>
        </w:tc>
        <w:tc>
          <w:tcPr>
            <w:tcW w:type="dxa" w:w="66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Dairy Processing — Fresh Milk Receipt &amp; Storage</w:t>
            </w:r>
          </w:p>
        </w:tc>
      </w:tr>
      <w:tr>
        <w:tc>
          <w:tcPr>
            <w:tcW w:type="dxa" w:w="2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b/>
                <w:bCs/>
                <w:color w:val="C0202A"/>
                <w:sz w:val="20"/>
                <w:szCs w:val="20"/>
              </w:rPr>
              <w:t xml:space="preserve">Operation</w:t>
            </w:r>
          </w:p>
        </w:tc>
        <w:tc>
          <w:tcPr>
            <w:tcW w:type="dxa" w:w="66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595959"/>
                <w:sz w:val="20"/>
                <w:szCs w:val="20"/>
              </w:rPr>
              <w:t xml:space="preserve">Multi-vessel dairy facility receiving raw milk deliveries into dedicated holding tanks for downstream processing</w:t>
            </w:r>
          </w:p>
        </w:tc>
      </w:tr>
      <w:tr>
        <w:tc>
          <w:tcPr>
            <w:tcW w:type="dxa" w:w="2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b/>
                <w:bCs/>
                <w:color w:val="C0202A"/>
                <w:sz w:val="20"/>
                <w:szCs w:val="20"/>
              </w:rPr>
              <w:t xml:space="preserve">Challenge</w:t>
            </w:r>
          </w:p>
        </w:tc>
        <w:tc>
          <w:tcPr>
            <w:tcW w:type="dxa" w:w="66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No digital verification that a receiving tank had completed Clean-In-Place (CIP) prior to milk delivery — CIP compliance tracked manually with no enforced sign-off process</w:t>
            </w:r>
          </w:p>
        </w:tc>
      </w:tr>
      <w:tr>
        <w:tc>
          <w:tcPr>
            <w:tcW w:type="dxa" w:w="2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b/>
                <w:bCs/>
                <w:color w:val="C0202A"/>
                <w:sz w:val="20"/>
                <w:szCs w:val="20"/>
              </w:rPr>
              <w:t xml:space="preserve">Consequence</w:t>
            </w:r>
          </w:p>
        </w:tc>
        <w:tc>
          <w:tcPr>
            <w:tcW w:type="dxa" w:w="66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595959"/>
                <w:sz w:val="20"/>
                <w:szCs w:val="20"/>
              </w:rPr>
              <w:t xml:space="preserve">A full delivery of raw milk was received into an uncleaned vessel. The product was contaminated and had to be discharged to effluent — a significant financial loss, food safety risk, and regulatory concern</w:t>
            </w:r>
          </w:p>
        </w:tc>
      </w:tr>
      <w:tr>
        <w:tc>
          <w:tcPr>
            <w:tcW w:type="dxa" w:w="2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b/>
                <w:bCs/>
                <w:color w:val="C0202A"/>
                <w:sz w:val="20"/>
                <w:szCs w:val="20"/>
              </w:rPr>
              <w:t xml:space="preserve">Solution</w:t>
            </w:r>
          </w:p>
        </w:tc>
        <w:tc>
          <w:tcPr>
            <w:tcW w:type="dxa" w:w="66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AGAD Portal pre-receipt CIP audit — a mandatory digital checklist and sign-off gate that must be completed and approved before any delivery may proceed to the vessel</w:t>
            </w:r>
          </w:p>
        </w:tc>
      </w:tr>
    </w:tbl>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THE INCIDENT</w:t>
      </w:r>
    </w:p>
    <w:p>
      <w:pPr>
        <w:spacing w:after="120" w:before="0"/>
      </w:pPr>
      <w:r>
        <w:rPr>
          <w:rFonts w:ascii="Arial" w:cs="Arial" w:eastAsia="Arial" w:hAnsi="Arial"/>
          <w:color w:val="595959"/>
          <w:sz w:val="22"/>
          <w:szCs w:val="22"/>
        </w:rPr>
        <w:t xml:space="preserve">In dairy processing, Clean-In-Place (CIP) is not optional — it is a fundamental food safety requirement. Every tank that receives raw milk must be fully cleaned, rinsed, and verified before product can be introduced. Failure to do so risks contaminating the incoming delivery with residual product, bacteria, or cleaning chemicals.</w:t>
      </w:r>
    </w:p>
    <w:p>
      <w:pPr>
        <w:spacing w:after="80" w:before="0"/>
      </w:pPr>
      <w:r>
        <w:t xml:space="preserve"/>
      </w:r>
    </w:p>
    <w:p>
      <w:pPr>
        <w:spacing w:after="120" w:before="0"/>
      </w:pPr>
      <w:r>
        <w:rPr>
          <w:rFonts w:ascii="Arial" w:cs="Arial" w:eastAsia="Arial" w:hAnsi="Arial"/>
          <w:color w:val="595959"/>
          <w:sz w:val="22"/>
          <w:szCs w:val="22"/>
        </w:rPr>
        <w:t xml:space="preserve">At this dairy facility, CIP completion was tracked using a paper-based sign-off sheet attached to each vessel. The process relied entirely on the receiving operator checking the sheet before accepting a delivery — a manual step that was easy to overlook during a busy shift.</w:t>
      </w:r>
    </w:p>
    <w:p>
      <w:pPr>
        <w:spacing w:after="8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C0202A" w:sz="24"/>
              <w:bottom w:val="none" w:color="FFFFFF" w:sz="0"/>
              <w:right w:val="none" w:color="FFFFFF" w:sz="0"/>
            </w:tcBorders>
            <w:shd w:fill="F5F5F5" w:val="clear"/>
            <w:tcMar>
              <w:top w:type="dxa" w:w="160"/>
              <w:left w:type="dxa" w:w="240"/>
              <w:bottom w:type="dxa" w:w="160"/>
              <w:right w:type="dxa" w:w="240"/>
            </w:tcMar>
          </w:tcPr>
          <w:p>
            <w:r>
              <w:rPr>
                <w:rFonts w:ascii="Arial" w:cs="Arial" w:eastAsia="Arial" w:hAnsi="Arial"/>
                <w:i/>
                <w:iCs/>
                <w:color w:val="2C2C2C"/>
                <w:sz w:val="22"/>
                <w:szCs w:val="22"/>
              </w:rPr>
              <w:t xml:space="preserve">A tanker arrived and delivery proceeded as normal. The paper sign-off had not been updated following the previous batch. The tank had not been cleaned. The entire delivery — a full tanker of raw milk — was contaminated on receipt and had to be sent to the effluent drain.</w:t>
            </w:r>
          </w:p>
        </w:tc>
      </w:tr>
    </w:tbl>
    <w:p>
      <w:pPr>
        <w:spacing w:after="120" w:before="0"/>
      </w:pPr>
      <w:r>
        <w:t xml:space="preserve"/>
      </w:r>
    </w:p>
    <w:p>
      <w:pPr>
        <w:spacing w:after="120" w:before="0"/>
      </w:pPr>
      <w:r>
        <w:rPr>
          <w:rFonts w:ascii="Arial" w:cs="Arial" w:eastAsia="Arial" w:hAnsi="Arial"/>
          <w:color w:val="595959"/>
          <w:sz w:val="22"/>
          <w:szCs w:val="22"/>
        </w:rPr>
        <w:t xml:space="preserve">The financial impact was immediate and significant: the cost of the lost product, the disposal cost, the lost production time, and the subsequent investigation and corrective action process. Beyond the direct cost, the incident raised serious questions about food safety governance and audit readiness.</w:t>
      </w:r>
    </w:p>
    <w:p>
      <w:pPr>
        <w:spacing w:after="80" w:before="0"/>
      </w:pPr>
      <w:r>
        <w:t xml:space="preserve"/>
      </w:r>
    </w:p>
    <w:p>
      <w:pPr>
        <w:spacing w:after="120" w:before="0"/>
      </w:pPr>
      <w:r>
        <w:rPr>
          <w:rFonts w:ascii="Arial" w:cs="Arial" w:eastAsia="Arial" w:hAnsi="Arial"/>
          <w:color w:val="595959"/>
          <w:sz w:val="22"/>
          <w:szCs w:val="22"/>
        </w:rPr>
        <w:t xml:space="preserve">The root cause was not negligence — it was a process that relied on human memory and paper records, with no digital verification, no enforced gate, and no audit trail. The same risk existed at every vessel, every shift, every delivery.</w:t>
      </w:r>
    </w:p>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WHY THE PREVIOUS PROCESS FAILED</w:t>
      </w:r>
    </w:p>
    <w:p>
      <w:pPr>
        <w:pStyle w:val="ListParagraph"/>
        <w:numPr>
          <w:ilvl w:val="0"/>
          <w:numId w:val="2"/>
        </w:numPr>
        <w:spacing w:after="80" w:before="0"/>
      </w:pPr>
      <w:r>
        <w:rPr>
          <w:rFonts w:ascii="Arial" w:cs="Arial" w:eastAsia="Arial" w:hAnsi="Arial"/>
          <w:color w:val="595959"/>
          <w:sz w:val="22"/>
          <w:szCs w:val="22"/>
        </w:rPr>
        <w:t xml:space="preserve">CIP completion was recorded on paper sheets attached to each vessel — no central visibility, no timestamp verification</w:t>
      </w:r>
    </w:p>
    <w:p>
      <w:pPr>
        <w:pStyle w:val="ListParagraph"/>
        <w:numPr>
          <w:ilvl w:val="0"/>
          <w:numId w:val="2"/>
        </w:numPr>
        <w:spacing w:after="80" w:before="0"/>
      </w:pPr>
      <w:r>
        <w:rPr>
          <w:rFonts w:ascii="Arial" w:cs="Arial" w:eastAsia="Arial" w:hAnsi="Arial"/>
          <w:color w:val="595959"/>
          <w:sz w:val="22"/>
          <w:szCs w:val="22"/>
        </w:rPr>
        <w:t xml:space="preserve">There was no enforced gate between CIP sign-off and delivery acceptance — the two processes were disconnected</w:t>
      </w:r>
    </w:p>
    <w:p>
      <w:pPr>
        <w:pStyle w:val="ListParagraph"/>
        <w:numPr>
          <w:ilvl w:val="0"/>
          <w:numId w:val="2"/>
        </w:numPr>
        <w:spacing w:after="80" w:before="0"/>
      </w:pPr>
      <w:r>
        <w:rPr>
          <w:rFonts w:ascii="Arial" w:cs="Arial" w:eastAsia="Arial" w:hAnsi="Arial"/>
          <w:color w:val="595959"/>
          <w:sz w:val="22"/>
          <w:szCs w:val="22"/>
        </w:rPr>
        <w:t xml:space="preserve">Operators under time pressure during busy delivery windows could proceed without consciously checking the sheet</w:t>
      </w:r>
    </w:p>
    <w:p>
      <w:pPr>
        <w:pStyle w:val="ListParagraph"/>
        <w:numPr>
          <w:ilvl w:val="0"/>
          <w:numId w:val="2"/>
        </w:numPr>
        <w:spacing w:after="80" w:before="0"/>
      </w:pPr>
      <w:r>
        <w:rPr>
          <w:rFonts w:ascii="Arial" w:cs="Arial" w:eastAsia="Arial" w:hAnsi="Arial"/>
          <w:color w:val="595959"/>
          <w:sz w:val="22"/>
          <w:szCs w:val="22"/>
        </w:rPr>
        <w:t xml:space="preserve">No alert or notification system existed to flag vessels awaiting CIP or vessels where CIP was overdue</w:t>
      </w:r>
    </w:p>
    <w:p>
      <w:pPr>
        <w:pStyle w:val="ListParagraph"/>
        <w:numPr>
          <w:ilvl w:val="0"/>
          <w:numId w:val="2"/>
        </w:numPr>
        <w:spacing w:after="80" w:before="0"/>
      </w:pPr>
      <w:r>
        <w:rPr>
          <w:rFonts w:ascii="Arial" w:cs="Arial" w:eastAsia="Arial" w:hAnsi="Arial"/>
          <w:color w:val="595959"/>
          <w:sz w:val="22"/>
          <w:szCs w:val="22"/>
        </w:rPr>
        <w:t xml:space="preserve">Audit trails were paper-based and retrospective — impossible to use as a real-time control</w:t>
      </w:r>
    </w:p>
    <w:p>
      <w:pPr>
        <w:pStyle w:val="ListParagraph"/>
        <w:numPr>
          <w:ilvl w:val="0"/>
          <w:numId w:val="2"/>
        </w:numPr>
        <w:spacing w:after="80" w:before="0"/>
      </w:pPr>
      <w:r>
        <w:rPr>
          <w:rFonts w:ascii="Arial" w:cs="Arial" w:eastAsia="Arial" w:hAnsi="Arial"/>
          <w:color w:val="595959"/>
          <w:sz w:val="22"/>
          <w:szCs w:val="22"/>
        </w:rPr>
        <w:t xml:space="preserve">Supervisors had no live view of which tanks were clean, which were dirty, and which were awaiting delivery</w:t>
      </w:r>
    </w:p>
    <w:p>
      <w:pPr>
        <w:pStyle w:val="ListParagraph"/>
        <w:numPr>
          <w:ilvl w:val="0"/>
          <w:numId w:val="2"/>
        </w:numPr>
        <w:spacing w:after="80" w:before="0"/>
      </w:pPr>
      <w:r>
        <w:rPr>
          <w:rFonts w:ascii="Arial" w:cs="Arial" w:eastAsia="Arial" w:hAnsi="Arial"/>
          <w:color w:val="595959"/>
          <w:sz w:val="22"/>
          <w:szCs w:val="22"/>
        </w:rPr>
        <w:t xml:space="preserve">Multiple shifts meant handover gaps — CIP status recorded in one shift was not reliably communicated to the next</w:t>
      </w:r>
    </w:p>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BEFORE &amp; AFTER</w:t>
      </w:r>
    </w:p>
    <w:p>
      <w:pPr>
        <w:spacing w:after="8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400"/>
        <w:gridCol w:w="200"/>
        <w:gridCol w:w="4400"/>
      </w:tblGrid>
      <w:tr>
        <w:tc>
          <w:tcPr>
            <w:tcW w:type="dxa" w:w="4400"/>
            <w:tcBorders>
              <w:top w:val="none" w:color="FFFFFF" w:sz="0"/>
              <w:left w:val="none" w:color="FFFFFF" w:sz="0"/>
              <w:bottom w:val="none" w:color="FFFFFF" w:sz="0"/>
              <w:right w:val="none" w:color="FFFFFF" w:sz="0"/>
            </w:tcBorders>
            <w:shd w:fill="595959" w:val="clear"/>
            <w:tcMar>
              <w:top w:type="dxa" w:w="100"/>
              <w:left w:type="dxa" w:w="150"/>
              <w:bottom w:type="dxa" w:w="100"/>
              <w:right w:type="dxa" w:w="150"/>
            </w:tcMar>
          </w:tcPr>
          <w:p>
            <w:r>
              <w:rPr>
                <w:rFonts w:ascii="Arial" w:cs="Arial" w:eastAsia="Arial" w:hAnsi="Arial"/>
                <w:b/>
                <w:bCs/>
                <w:color w:val="FFFFFF"/>
                <w:sz w:val="21"/>
                <w:szCs w:val="21"/>
              </w:rPr>
              <w:t xml:space="preserve">Before AGAD</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C0202A" w:val="clear"/>
            <w:tcMar>
              <w:top w:type="dxa" w:w="100"/>
              <w:left w:type="dxa" w:w="150"/>
              <w:bottom w:type="dxa" w:w="100"/>
              <w:right w:type="dxa" w:w="150"/>
            </w:tcMar>
          </w:tcPr>
          <w:p>
            <w:r>
              <w:rPr>
                <w:rFonts w:ascii="Arial" w:cs="Arial" w:eastAsia="Arial" w:hAnsi="Arial"/>
                <w:b/>
                <w:bCs/>
                <w:color w:val="FFFFFF"/>
                <w:sz w:val="21"/>
                <w:szCs w:val="21"/>
              </w:rPr>
              <w:t xml:space="preserve">With AGAD Portal</w:t>
            </w:r>
          </w:p>
        </w:tc>
      </w:tr>
      <w:tr>
        <w:tc>
          <w:tcPr>
            <w:tcW w:type="dxa" w:w="4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CIP completion recorded on paper sign-off sheet attached to vessel</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9E8E9" w:val="clear"/>
            <w:tcMar>
              <w:top w:type="dxa" w:w="100"/>
              <w:left w:type="dxa" w:w="150"/>
              <w:bottom w:type="dxa" w:w="100"/>
              <w:right w:type="dxa" w:w="150"/>
            </w:tcMar>
          </w:tcPr>
          <w:p>
            <w:r>
              <w:rPr>
                <w:rFonts w:ascii="Arial" w:cs="Arial" w:eastAsia="Arial" w:hAnsi="Arial"/>
                <w:color w:val="2C2C2C"/>
                <w:sz w:val="20"/>
                <w:szCs w:val="20"/>
              </w:rPr>
              <w:t xml:space="preserve">CIP completion recorded digitally in AGAD Portal, linked to the specific vessel asset</w:t>
            </w:r>
          </w:p>
        </w:tc>
      </w:tr>
      <w:tr>
        <w:tc>
          <w:tcPr>
            <w:tcW w:type="dxa" w:w="4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595959"/>
                <w:sz w:val="20"/>
                <w:szCs w:val="20"/>
              </w:rPr>
              <w:t xml:space="preserve">No enforced connection between CIP sign-off and delivery acceptance</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2C2C2C"/>
                <w:sz w:val="20"/>
                <w:szCs w:val="20"/>
              </w:rPr>
              <w:t xml:space="preserve">Delivery to vessel is blocked in the system until CIP audit is completed and signed off</w:t>
            </w:r>
          </w:p>
        </w:tc>
      </w:tr>
      <w:tr>
        <w:tc>
          <w:tcPr>
            <w:tcW w:type="dxa" w:w="4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Operator must physically check the paper sheet — easy to miss under pressure</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9E8E9" w:val="clear"/>
            <w:tcMar>
              <w:top w:type="dxa" w:w="100"/>
              <w:left w:type="dxa" w:w="150"/>
              <w:bottom w:type="dxa" w:w="100"/>
              <w:right w:type="dxa" w:w="150"/>
            </w:tcMar>
          </w:tcPr>
          <w:p>
            <w:r>
              <w:rPr>
                <w:rFonts w:ascii="Arial" w:cs="Arial" w:eastAsia="Arial" w:hAnsi="Arial"/>
                <w:color w:val="2C2C2C"/>
                <w:sz w:val="20"/>
                <w:szCs w:val="20"/>
              </w:rPr>
              <w:t xml:space="preserve">AGAD dashboard shows live CIP status for every vessel — clean, dirty, or awaiting sign-off</w:t>
            </w:r>
          </w:p>
        </w:tc>
      </w:tr>
      <w:tr>
        <w:tc>
          <w:tcPr>
            <w:tcW w:type="dxa" w:w="4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595959"/>
                <w:sz w:val="20"/>
                <w:szCs w:val="20"/>
              </w:rPr>
              <w:t xml:space="preserve">No alerts — CIP overdue or missed situations go unnoticed until an incident occurs</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2C2C2C"/>
                <w:sz w:val="20"/>
                <w:szCs w:val="20"/>
              </w:rPr>
              <w:t xml:space="preserve">Automated alerts notify supervisors when a vessel's CIP is overdue or a delivery is approaching an uncleared tank</w:t>
            </w:r>
          </w:p>
        </w:tc>
      </w:tr>
      <w:tr>
        <w:tc>
          <w:tcPr>
            <w:tcW w:type="dxa" w:w="4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Paper-based audit trail — retrospective, incomplete, difficult to produce for inspectors</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9E8E9" w:val="clear"/>
            <w:tcMar>
              <w:top w:type="dxa" w:w="100"/>
              <w:left w:type="dxa" w:w="150"/>
              <w:bottom w:type="dxa" w:w="100"/>
              <w:right w:type="dxa" w:w="150"/>
            </w:tcMar>
          </w:tcPr>
          <w:p>
            <w:r>
              <w:rPr>
                <w:rFonts w:ascii="Arial" w:cs="Arial" w:eastAsia="Arial" w:hAnsi="Arial"/>
                <w:color w:val="2C2C2C"/>
                <w:sz w:val="20"/>
                <w:szCs w:val="20"/>
              </w:rPr>
              <w:t xml:space="preserve">Full digital audit trail with timestamps, operator IDs, and sign-off records — exportable for any audit</w:t>
            </w:r>
          </w:p>
        </w:tc>
      </w:tr>
      <w:tr>
        <w:tc>
          <w:tcPr>
            <w:tcW w:type="dxa" w:w="4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595959"/>
                <w:sz w:val="20"/>
                <w:szCs w:val="20"/>
              </w:rPr>
              <w:t xml:space="preserve">Shift handover relies on verbal communication about vessel status</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FFFFF" w:val="clear"/>
            <w:tcMar>
              <w:top w:type="dxa" w:w="100"/>
              <w:left w:type="dxa" w:w="150"/>
              <w:bottom w:type="dxa" w:w="100"/>
              <w:right w:type="dxa" w:w="150"/>
            </w:tcMar>
          </w:tcPr>
          <w:p>
            <w:r>
              <w:rPr>
                <w:rFonts w:ascii="Arial" w:cs="Arial" w:eastAsia="Arial" w:hAnsi="Arial"/>
                <w:color w:val="2C2C2C"/>
                <w:sz w:val="20"/>
                <w:szCs w:val="20"/>
              </w:rPr>
              <w:t xml:space="preserve">Incoming shift sees live vessel status on dashboard — no verbal handover required for CIP state</w:t>
            </w:r>
          </w:p>
        </w:tc>
      </w:tr>
      <w:tr>
        <w:tc>
          <w:tcPr>
            <w:tcW w:type="dxa" w:w="4400"/>
            <w:tcBorders>
              <w:top w:val="none" w:color="FFFFFF" w:sz="0"/>
              <w:left w:val="none" w:color="FFFFFF" w:sz="0"/>
              <w:bottom w:val="none" w:color="FFFFFF" w:sz="0"/>
              <w:right w:val="none" w:color="FFFFFF" w:sz="0"/>
            </w:tcBorders>
            <w:shd w:fill="F5F5F5" w:val="clear"/>
            <w:tcMar>
              <w:top w:type="dxa" w:w="100"/>
              <w:left w:type="dxa" w:w="150"/>
              <w:bottom w:type="dxa" w:w="100"/>
              <w:right w:type="dxa" w:w="150"/>
            </w:tcMar>
          </w:tcPr>
          <w:p>
            <w:r>
              <w:rPr>
                <w:rFonts w:ascii="Arial" w:cs="Arial" w:eastAsia="Arial" w:hAnsi="Arial"/>
                <w:color w:val="595959"/>
                <w:sz w:val="20"/>
                <w:szCs w:val="20"/>
              </w:rPr>
              <w:t xml:space="preserve">One missed check resulted in full tanker loss to effluent</w:t>
            </w:r>
          </w:p>
        </w:tc>
        <w:tc>
          <w:tcPr>
            <w:tcW w:type="dxa" w:w="200"/>
            <w:tcBorders>
              <w:top w:val="none" w:color="FFFFFF" w:sz="0"/>
              <w:left w:val="none" w:color="FFFFFF" w:sz="0"/>
              <w:bottom w:val="none" w:color="FFFFFF" w:sz="0"/>
              <w:right w:val="none" w:color="FFFFFF" w:sz="0"/>
            </w:tcBorders>
            <w:shd w:fill="FFFFFF" w:val="clear"/>
          </w:tcPr>
          <w:p>
            <w:r>
              <w:t xml:space="preserve"/>
            </w:r>
          </w:p>
        </w:tc>
        <w:tc>
          <w:tcPr>
            <w:tcW w:type="dxa" w:w="4400"/>
            <w:tcBorders>
              <w:top w:val="none" w:color="FFFFFF" w:sz="0"/>
              <w:left w:val="none" w:color="FFFFFF" w:sz="0"/>
              <w:bottom w:val="none" w:color="FFFFFF" w:sz="0"/>
              <w:right w:val="none" w:color="FFFFFF" w:sz="0"/>
            </w:tcBorders>
            <w:shd w:fill="F9E8E9" w:val="clear"/>
            <w:tcMar>
              <w:top w:type="dxa" w:w="100"/>
              <w:left w:type="dxa" w:w="150"/>
              <w:bottom w:type="dxa" w:w="100"/>
              <w:right w:type="dxa" w:w="150"/>
            </w:tcMar>
          </w:tcPr>
          <w:p>
            <w:r>
              <w:rPr>
                <w:rFonts w:ascii="Arial" w:cs="Arial" w:eastAsia="Arial" w:hAnsi="Arial"/>
                <w:color w:val="2C2C2C"/>
                <w:sz w:val="20"/>
                <w:szCs w:val="20"/>
              </w:rPr>
              <w:t xml:space="preserve">Zero product losses due to CIP non-compliance since system implementation</w:t>
            </w:r>
          </w:p>
        </w:tc>
      </w:tr>
    </w:tbl>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THE SOLUTION</w:t>
      </w:r>
    </w:p>
    <w:p>
      <w:pPr>
        <w:spacing w:after="120" w:before="0"/>
      </w:pPr>
      <w:r>
        <w:rPr>
          <w:rFonts w:ascii="Arial" w:cs="Arial" w:eastAsia="Arial" w:hAnsi="Arial"/>
          <w:color w:val="595959"/>
          <w:sz w:val="22"/>
          <w:szCs w:val="22"/>
        </w:rPr>
        <w:t xml:space="preserve">AGAD Portal was configured to create a mandatory pre-receipt CIP audit process — a digital gate that connects CIP completion directly to delivery authorisation for each vessel. The system does not allow a delivery to proceed to a vessel until the audit has been completed and approved.</w:t>
      </w:r>
    </w:p>
    <w:p>
      <w:pPr>
        <w:spacing w:after="120" w:before="0"/>
      </w:pPr>
      <w:r>
        <w:t xml:space="preserve"/>
      </w:r>
    </w:p>
    <w:p>
      <w:pPr>
        <w:spacing w:after="80" w:before="200"/>
      </w:pPr>
      <w:r>
        <w:rPr>
          <w:rFonts w:ascii="Arial" w:cs="Arial" w:eastAsia="Arial" w:hAnsi="Arial"/>
          <w:b/>
          <w:bCs/>
          <w:color w:val="2C2C2C"/>
          <w:sz w:val="24"/>
          <w:szCs w:val="24"/>
        </w:rPr>
        <w:t xml:space="preserve">How the Pre-Receipt Audit Works</w:t>
      </w:r>
    </w:p>
    <w:p>
      <w:pPr>
        <w:spacing w:after="8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600"/>
        <w:gridCol w:w="8400"/>
      </w:tblGrid>
      <w:tr>
        <w:tc>
          <w:tcPr>
            <w:tcW w:type="dxa" w:w="600"/>
            <w:tcBorders>
              <w:top w:val="none" w:color="FFFFFF" w:sz="0"/>
              <w:left w:val="none" w:color="FFFFFF" w:sz="0"/>
              <w:bottom w:val="none" w:color="FFFFFF" w:sz="0"/>
              <w:right w:val="none" w:color="FFFFFF" w:sz="0"/>
            </w:tcBorders>
            <w:shd w:fill="C020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1</w:t>
            </w:r>
          </w:p>
        </w:tc>
        <w:tc>
          <w:tcPr>
            <w:tcW w:type="dxa" w:w="8400"/>
            <w:tcBorders>
              <w:top w:val="none" w:color="FFFFFF" w:sz="0"/>
              <w:left w:val="none" w:color="FFFFFF" w:sz="0"/>
              <w:bottom w:val="single" w:color="E0E0E0" w:sz="2"/>
              <w:right w:val="none" w:color="FFFFFF" w:sz="0"/>
            </w:tcBorders>
            <w:shd w:fill="F5F5F5" w:val="clear"/>
            <w:tcMar>
              <w:top w:type="dxa" w:w="120"/>
              <w:left w:type="dxa" w:w="200"/>
              <w:bottom w:type="dxa" w:w="120"/>
              <w:right w:type="dxa" w:w="150"/>
            </w:tcMar>
          </w:tcPr>
          <w:p>
            <w:r>
              <w:rPr>
                <w:rFonts w:ascii="Arial" w:cs="Arial" w:eastAsia="Arial" w:hAnsi="Arial"/>
                <w:b/>
                <w:bCs/>
                <w:color w:val="2C2C2C"/>
                <w:sz w:val="21"/>
                <w:szCs w:val="21"/>
              </w:rPr>
              <w:t xml:space="preserve">CIP cycle completes</w:t>
            </w:r>
          </w:p>
          <w:p>
            <w:r>
              <w:rPr>
                <w:rFonts w:ascii="Arial" w:cs="Arial" w:eastAsia="Arial" w:hAnsi="Arial"/>
                <w:color w:val="595959"/>
                <w:sz w:val="20"/>
                <w:szCs w:val="20"/>
              </w:rPr>
              <w:t xml:space="preserve">When a CIP cycle finishes, the responsible operator opens the AGAD Portal on any device and navigates to the vessel asset. A pre-receipt audit form is raised against that vessel.</w:t>
            </w:r>
          </w:p>
        </w:tc>
      </w:tr>
      <w:tr>
        <w:tc>
          <w:tcPr>
            <w:tcW w:type="dxa" w:w="600"/>
            <w:tcBorders>
              <w:top w:val="none" w:color="FFFFFF" w:sz="0"/>
              <w:left w:val="none" w:color="FFFFFF" w:sz="0"/>
              <w:bottom w:val="none" w:color="FFFFFF" w:sz="0"/>
              <w:right w:val="none" w:color="FFFFFF" w:sz="0"/>
            </w:tcBorders>
            <w:shd w:fill="C020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2</w:t>
            </w:r>
          </w:p>
        </w:tc>
        <w:tc>
          <w:tcPr>
            <w:tcW w:type="dxa" w:w="8400"/>
            <w:tcBorders>
              <w:top w:val="none" w:color="FFFFFF" w:sz="0"/>
              <w:left w:val="none" w:color="FFFFFF" w:sz="0"/>
              <w:bottom w:val="single" w:color="E0E0E0" w:sz="2"/>
              <w:right w:val="none" w:color="FFFFFF" w:sz="0"/>
            </w:tcBorders>
            <w:shd w:fill="FFFFFF" w:val="clear"/>
            <w:tcMar>
              <w:top w:type="dxa" w:w="120"/>
              <w:left w:type="dxa" w:w="200"/>
              <w:bottom w:type="dxa" w:w="120"/>
              <w:right w:type="dxa" w:w="150"/>
            </w:tcMar>
          </w:tcPr>
          <w:p>
            <w:r>
              <w:rPr>
                <w:rFonts w:ascii="Arial" w:cs="Arial" w:eastAsia="Arial" w:hAnsi="Arial"/>
                <w:b/>
                <w:bCs/>
                <w:color w:val="2C2C2C"/>
                <w:sz w:val="21"/>
                <w:szCs w:val="21"/>
              </w:rPr>
              <w:t xml:space="preserve">Digital audit checklist completed</w:t>
            </w:r>
          </w:p>
          <w:p>
            <w:r>
              <w:rPr>
                <w:rFonts w:ascii="Arial" w:cs="Arial" w:eastAsia="Arial" w:hAnsi="Arial"/>
                <w:color w:val="595959"/>
                <w:sz w:val="20"/>
                <w:szCs w:val="20"/>
              </w:rPr>
              <w:t xml:space="preserve">The operator works through a mandatory digital checklist confirming CIP steps have been completed — rinse cycle, chemical wash, final rinse, temperature and conductivity checks where applicable. Each step requires an individual confirmation.</w:t>
            </w:r>
          </w:p>
        </w:tc>
      </w:tr>
      <w:tr>
        <w:tc>
          <w:tcPr>
            <w:tcW w:type="dxa" w:w="600"/>
            <w:tcBorders>
              <w:top w:val="none" w:color="FFFFFF" w:sz="0"/>
              <w:left w:val="none" w:color="FFFFFF" w:sz="0"/>
              <w:bottom w:val="none" w:color="FFFFFF" w:sz="0"/>
              <w:right w:val="none" w:color="FFFFFF" w:sz="0"/>
            </w:tcBorders>
            <w:shd w:fill="C020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3</w:t>
            </w:r>
          </w:p>
        </w:tc>
        <w:tc>
          <w:tcPr>
            <w:tcW w:type="dxa" w:w="8400"/>
            <w:tcBorders>
              <w:top w:val="none" w:color="FFFFFF" w:sz="0"/>
              <w:left w:val="none" w:color="FFFFFF" w:sz="0"/>
              <w:bottom w:val="single" w:color="E0E0E0" w:sz="2"/>
              <w:right w:val="none" w:color="FFFFFF" w:sz="0"/>
            </w:tcBorders>
            <w:shd w:fill="F5F5F5" w:val="clear"/>
            <w:tcMar>
              <w:top w:type="dxa" w:w="120"/>
              <w:left w:type="dxa" w:w="200"/>
              <w:bottom w:type="dxa" w:w="120"/>
              <w:right w:type="dxa" w:w="150"/>
            </w:tcMar>
          </w:tcPr>
          <w:p>
            <w:r>
              <w:rPr>
                <w:rFonts w:ascii="Arial" w:cs="Arial" w:eastAsia="Arial" w:hAnsi="Arial"/>
                <w:b/>
                <w:bCs/>
                <w:color w:val="2C2C2C"/>
                <w:sz w:val="21"/>
                <w:szCs w:val="21"/>
              </w:rPr>
              <w:t xml:space="preserve">Supervisor sign-off</w:t>
            </w:r>
          </w:p>
          <w:p>
            <w:r>
              <w:rPr>
                <w:rFonts w:ascii="Arial" w:cs="Arial" w:eastAsia="Arial" w:hAnsi="Arial"/>
                <w:color w:val="595959"/>
                <w:sz w:val="20"/>
                <w:szCs w:val="20"/>
              </w:rPr>
              <w:t xml:space="preserve">Once the checklist is complete, the audit is submitted for approval. A supervisor or quality representative receives a notification and reviews the submission. They provide a named, timestamped digital sign-off to approve the vessel for receipt.</w:t>
            </w:r>
          </w:p>
        </w:tc>
      </w:tr>
      <w:tr>
        <w:tc>
          <w:tcPr>
            <w:tcW w:type="dxa" w:w="600"/>
            <w:tcBorders>
              <w:top w:val="none" w:color="FFFFFF" w:sz="0"/>
              <w:left w:val="none" w:color="FFFFFF" w:sz="0"/>
              <w:bottom w:val="none" w:color="FFFFFF" w:sz="0"/>
              <w:right w:val="none" w:color="FFFFFF" w:sz="0"/>
            </w:tcBorders>
            <w:shd w:fill="C020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4</w:t>
            </w:r>
          </w:p>
        </w:tc>
        <w:tc>
          <w:tcPr>
            <w:tcW w:type="dxa" w:w="8400"/>
            <w:tcBorders>
              <w:top w:val="none" w:color="FFFFFF" w:sz="0"/>
              <w:left w:val="none" w:color="FFFFFF" w:sz="0"/>
              <w:bottom w:val="single" w:color="E0E0E0" w:sz="2"/>
              <w:right w:val="none" w:color="FFFFFF" w:sz="0"/>
            </w:tcBorders>
            <w:shd w:fill="FFFFFF" w:val="clear"/>
            <w:tcMar>
              <w:top w:type="dxa" w:w="120"/>
              <w:left w:type="dxa" w:w="200"/>
              <w:bottom w:type="dxa" w:w="120"/>
              <w:right w:type="dxa" w:w="150"/>
            </w:tcMar>
          </w:tcPr>
          <w:p>
            <w:r>
              <w:rPr>
                <w:rFonts w:ascii="Arial" w:cs="Arial" w:eastAsia="Arial" w:hAnsi="Arial"/>
                <w:b/>
                <w:bCs/>
                <w:color w:val="2C2C2C"/>
                <w:sz w:val="21"/>
                <w:szCs w:val="21"/>
              </w:rPr>
              <w:t xml:space="preserve">Vessel status updates to Cleared for Receipt</w:t>
            </w:r>
          </w:p>
          <w:p>
            <w:r>
              <w:rPr>
                <w:rFonts w:ascii="Arial" w:cs="Arial" w:eastAsia="Arial" w:hAnsi="Arial"/>
                <w:color w:val="595959"/>
                <w:sz w:val="20"/>
                <w:szCs w:val="20"/>
              </w:rPr>
              <w:t xml:space="preserve">On approval, the vessel status in the AGAD Portal updates to Cleared for Receipt. The dashboard indicator changes to green. This status is visible to the receiving team, the tank room, and management in real time.</w:t>
            </w:r>
          </w:p>
        </w:tc>
      </w:tr>
      <w:tr>
        <w:tc>
          <w:tcPr>
            <w:tcW w:type="dxa" w:w="600"/>
            <w:tcBorders>
              <w:top w:val="none" w:color="FFFFFF" w:sz="0"/>
              <w:left w:val="none" w:color="FFFFFF" w:sz="0"/>
              <w:bottom w:val="none" w:color="FFFFFF" w:sz="0"/>
              <w:right w:val="none" w:color="FFFFFF" w:sz="0"/>
            </w:tcBorders>
            <w:shd w:fill="C020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5</w:t>
            </w:r>
          </w:p>
        </w:tc>
        <w:tc>
          <w:tcPr>
            <w:tcW w:type="dxa" w:w="8400"/>
            <w:tcBorders>
              <w:top w:val="none" w:color="FFFFFF" w:sz="0"/>
              <w:left w:val="none" w:color="FFFFFF" w:sz="0"/>
              <w:bottom w:val="single" w:color="E0E0E0" w:sz="2"/>
              <w:right w:val="none" w:color="FFFFFF" w:sz="0"/>
            </w:tcBorders>
            <w:shd w:fill="F5F5F5" w:val="clear"/>
            <w:tcMar>
              <w:top w:type="dxa" w:w="120"/>
              <w:left w:type="dxa" w:w="200"/>
              <w:bottom w:type="dxa" w:w="120"/>
              <w:right w:type="dxa" w:w="150"/>
            </w:tcMar>
          </w:tcPr>
          <w:p>
            <w:r>
              <w:rPr>
                <w:rFonts w:ascii="Arial" w:cs="Arial" w:eastAsia="Arial" w:hAnsi="Arial"/>
                <w:b/>
                <w:bCs/>
                <w:color w:val="2C2C2C"/>
                <w:sz w:val="21"/>
                <w:szCs w:val="21"/>
              </w:rPr>
              <w:t xml:space="preserve">Delivery may proceed</w:t>
            </w:r>
          </w:p>
          <w:p>
            <w:r>
              <w:rPr>
                <w:rFonts w:ascii="Arial" w:cs="Arial" w:eastAsia="Arial" w:hAnsi="Arial"/>
                <w:color w:val="595959"/>
                <w:sz w:val="20"/>
                <w:szCs w:val="20"/>
              </w:rPr>
              <w:t xml:space="preserve">Only vessels with Cleared for Receipt status may accept a delivery. If a tanker arrives and the receiving vessel is not in this state, the portal flags the issue immediately — before product transfer begins.</w:t>
            </w:r>
          </w:p>
        </w:tc>
      </w:tr>
      <w:tr>
        <w:tc>
          <w:tcPr>
            <w:tcW w:type="dxa" w:w="600"/>
            <w:tcBorders>
              <w:top w:val="none" w:color="FFFFFF" w:sz="0"/>
              <w:left w:val="none" w:color="FFFFFF" w:sz="0"/>
              <w:bottom w:val="none" w:color="FFFFFF" w:sz="0"/>
              <w:right w:val="none" w:color="FFFFFF" w:sz="0"/>
            </w:tcBorders>
            <w:shd w:fill="C020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6</w:t>
            </w:r>
          </w:p>
        </w:tc>
        <w:tc>
          <w:tcPr>
            <w:tcW w:type="dxa" w:w="8400"/>
            <w:tcBorders>
              <w:top w:val="none" w:color="FFFFFF" w:sz="0"/>
              <w:left w:val="none" w:color="FFFFFF" w:sz="0"/>
              <w:bottom w:val="single" w:color="E0E0E0" w:sz="2"/>
              <w:right w:val="none" w:color="FFFFFF" w:sz="0"/>
            </w:tcBorders>
            <w:shd w:fill="FFFFFF" w:val="clear"/>
            <w:tcMar>
              <w:top w:type="dxa" w:w="120"/>
              <w:left w:type="dxa" w:w="200"/>
              <w:bottom w:type="dxa" w:w="120"/>
              <w:right w:type="dxa" w:w="150"/>
            </w:tcMar>
          </w:tcPr>
          <w:p>
            <w:r>
              <w:rPr>
                <w:rFonts w:ascii="Arial" w:cs="Arial" w:eastAsia="Arial" w:hAnsi="Arial"/>
                <w:b/>
                <w:bCs/>
                <w:color w:val="2C2C2C"/>
                <w:sz w:val="21"/>
                <w:szCs w:val="21"/>
              </w:rPr>
              <w:t xml:space="preserve">Audit record stored against vessel</w:t>
            </w:r>
          </w:p>
          <w:p>
            <w:r>
              <w:rPr>
                <w:rFonts w:ascii="Arial" w:cs="Arial" w:eastAsia="Arial" w:hAnsi="Arial"/>
                <w:color w:val="595959"/>
                <w:sz w:val="20"/>
                <w:szCs w:val="20"/>
              </w:rPr>
              <w:t xml:space="preserve">Every audit, every sign-off, every delivery receipt is permanently logged against the vessel asset in AGAD. The record includes who completed the checklist, who approved it, the time and date, and any notes added during the process.</w:t>
            </w:r>
          </w:p>
        </w:tc>
      </w:tr>
    </w:tbl>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LIVE VESSEL STATUS DASHBOARD</w:t>
      </w:r>
    </w:p>
    <w:p>
      <w:pPr>
        <w:spacing w:after="120" w:before="0"/>
      </w:pPr>
      <w:r>
        <w:rPr>
          <w:rFonts w:ascii="Arial" w:cs="Arial" w:eastAsia="Arial" w:hAnsi="Arial"/>
          <w:color w:val="595959"/>
          <w:sz w:val="22"/>
          <w:szCs w:val="22"/>
        </w:rPr>
        <w:t xml:space="preserve">A central dashboard — visible on large displays in the tank room and accessible on any device — shows the real-time CIP and receipt status of every vessel on site. At a glance, any member of the team can see:</w:t>
      </w:r>
    </w:p>
    <w:p>
      <w:pPr>
        <w:spacing w:after="80" w:before="0"/>
      </w:pPr>
      <w:r>
        <w:t xml:space="preserve"/>
      </w:r>
    </w:p>
    <w:p>
      <w:pPr>
        <w:pStyle w:val="ListParagraph"/>
        <w:numPr>
          <w:ilvl w:val="0"/>
          <w:numId w:val="2"/>
        </w:numPr>
        <w:spacing w:after="80" w:before="0"/>
      </w:pPr>
      <w:r>
        <w:rPr>
          <w:rFonts w:ascii="Arial" w:cs="Arial" w:eastAsia="Arial" w:hAnsi="Arial"/>
          <w:color w:val="595959"/>
          <w:sz w:val="22"/>
          <w:szCs w:val="22"/>
        </w:rPr>
        <w:t xml:space="preserve">Which vessels are clean and cleared for receipt (green)</w:t>
      </w:r>
    </w:p>
    <w:p>
      <w:pPr>
        <w:pStyle w:val="ListParagraph"/>
        <w:numPr>
          <w:ilvl w:val="0"/>
          <w:numId w:val="2"/>
        </w:numPr>
        <w:spacing w:after="80" w:before="0"/>
      </w:pPr>
      <w:r>
        <w:rPr>
          <w:rFonts w:ascii="Arial" w:cs="Arial" w:eastAsia="Arial" w:hAnsi="Arial"/>
          <w:color w:val="595959"/>
          <w:sz w:val="22"/>
          <w:szCs w:val="22"/>
        </w:rPr>
        <w:t xml:space="preserve">Which vessels are in use, holding product (amber)</w:t>
      </w:r>
    </w:p>
    <w:p>
      <w:pPr>
        <w:pStyle w:val="ListParagraph"/>
        <w:numPr>
          <w:ilvl w:val="0"/>
          <w:numId w:val="2"/>
        </w:numPr>
        <w:spacing w:after="80" w:before="0"/>
      </w:pPr>
      <w:r>
        <w:rPr>
          <w:rFonts w:ascii="Arial" w:cs="Arial" w:eastAsia="Arial" w:hAnsi="Arial"/>
          <w:color w:val="595959"/>
          <w:sz w:val="22"/>
          <w:szCs w:val="22"/>
        </w:rPr>
        <w:t xml:space="preserve">Which vessels are dirty and awaiting CIP (red)</w:t>
      </w:r>
    </w:p>
    <w:p>
      <w:pPr>
        <w:pStyle w:val="ListParagraph"/>
        <w:numPr>
          <w:ilvl w:val="0"/>
          <w:numId w:val="2"/>
        </w:numPr>
        <w:spacing w:after="80" w:before="0"/>
      </w:pPr>
      <w:r>
        <w:rPr>
          <w:rFonts w:ascii="Arial" w:cs="Arial" w:eastAsia="Arial" w:hAnsi="Arial"/>
          <w:color w:val="595959"/>
          <w:sz w:val="22"/>
          <w:szCs w:val="22"/>
        </w:rPr>
        <w:t xml:space="preserve">Which vessels have an open CIP audit awaiting supervisor sign-off (yellow)</w:t>
      </w:r>
    </w:p>
    <w:p>
      <w:pPr>
        <w:pStyle w:val="ListParagraph"/>
        <w:numPr>
          <w:ilvl w:val="0"/>
          <w:numId w:val="2"/>
        </w:numPr>
        <w:spacing w:after="80" w:before="0"/>
      </w:pPr>
      <w:r>
        <w:rPr>
          <w:rFonts w:ascii="Arial" w:cs="Arial" w:eastAsia="Arial" w:hAnsi="Arial"/>
          <w:color w:val="595959"/>
          <w:sz w:val="22"/>
          <w:szCs w:val="22"/>
        </w:rPr>
        <w:t xml:space="preserve">Which vessels have an upcoming delivery scheduled and whether their CIP status is confirmed</w:t>
      </w:r>
    </w:p>
    <w:p>
      <w:pPr>
        <w:spacing w:after="80" w:before="0"/>
      </w:pPr>
      <w:r>
        <w:t xml:space="preserve"/>
      </w:r>
    </w:p>
    <w:p>
      <w:pPr>
        <w:spacing w:after="120" w:before="0"/>
      </w:pPr>
      <w:r>
        <w:rPr>
          <w:rFonts w:ascii="Arial" w:cs="Arial" w:eastAsia="Arial" w:hAnsi="Arial"/>
          <w:color w:val="595959"/>
          <w:sz w:val="22"/>
          <w:szCs w:val="22"/>
        </w:rPr>
        <w:t xml:space="preserve">Automated alerts are sent via SMS and email when a vessel's CIP status has not been updated within an expected window, or when a delivery is scheduled to a vessel that is not yet cleared.</w:t>
      </w:r>
    </w:p>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RESULTS</w:t>
      </w:r>
    </w:p>
    <w:p>
      <w:pPr>
        <w:spacing w:after="120" w:before="0"/>
      </w:pPr>
      <w:r>
        <w:rPr>
          <w:rFonts w:ascii="Arial" w:cs="Arial" w:eastAsia="Arial" w:hAnsi="Arial"/>
          <w:color w:val="595959"/>
          <w:sz w:val="22"/>
          <w:szCs w:val="22"/>
        </w:rPr>
        <w:t xml:space="preserve">Since implementing the AGAD pre-receipt CIP audit process, the dairy has eliminated the class of incident that triggered the original project.</w:t>
      </w:r>
    </w:p>
    <w:p>
      <w:pPr>
        <w:spacing w:after="12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tcBorders>
              <w:top w:val="none" w:color="FFFFFF" w:sz="0"/>
              <w:left w:val="single" w:color="C0202A" w:sz="8"/>
              <w:bottom w:val="none" w:color="FFFFFF" w:sz="0"/>
              <w:right w:val="none" w:color="FFFFFF" w:sz="0"/>
            </w:tcBorders>
            <w:shd w:fill="F9E8E9" w:val="clear"/>
            <w:tcMar>
              <w:top w:type="dxa" w:w="120"/>
              <w:left w:type="dxa" w:w="180"/>
              <w:bottom w:type="dxa" w:w="120"/>
              <w:right w:type="dxa" w:w="180"/>
            </w:tcMar>
          </w:tcPr>
          <w:p>
            <w:r>
              <w:rPr>
                <w:rFonts w:ascii="Arial" w:cs="Arial" w:eastAsia="Arial" w:hAnsi="Arial"/>
                <w:b/>
                <w:bCs/>
                <w:color w:val="C0202A"/>
                <w:sz w:val="36"/>
                <w:szCs w:val="36"/>
              </w:rPr>
              <w:t xml:space="preserve">Zero</w:t>
            </w:r>
          </w:p>
          <w:p>
            <w:r>
              <w:rPr>
                <w:rFonts w:ascii="Arial" w:cs="Arial" w:eastAsia="Arial" w:hAnsi="Arial"/>
                <w:color w:val="595959"/>
                <w:sz w:val="18"/>
                <w:szCs w:val="18"/>
              </w:rPr>
              <w:t xml:space="preserve">product losses due to CIP non-compliance since system go-live</w:t>
            </w:r>
          </w:p>
        </w:tc>
        <w:tc>
          <w:tcPr>
            <w:tcW w:type="dxa" w:w="3000"/>
            <w:tcBorders>
              <w:top w:val="none" w:color="FFFFFF" w:sz="0"/>
              <w:left w:val="single" w:color="C0202A" w:sz="8"/>
              <w:bottom w:val="none" w:color="FFFFFF" w:sz="0"/>
              <w:right w:val="none" w:color="FFFFFF" w:sz="0"/>
            </w:tcBorders>
            <w:shd w:fill="F9E8E9" w:val="clear"/>
            <w:tcMar>
              <w:top w:type="dxa" w:w="120"/>
              <w:left w:type="dxa" w:w="180"/>
              <w:bottom w:type="dxa" w:w="120"/>
              <w:right w:type="dxa" w:w="180"/>
            </w:tcMar>
          </w:tcPr>
          <w:p>
            <w:r>
              <w:rPr>
                <w:rFonts w:ascii="Arial" w:cs="Arial" w:eastAsia="Arial" w:hAnsi="Arial"/>
                <w:b/>
                <w:bCs/>
                <w:color w:val="C0202A"/>
                <w:sz w:val="36"/>
                <w:szCs w:val="36"/>
              </w:rPr>
              <w:t xml:space="preserve">100%</w:t>
            </w:r>
          </w:p>
          <w:p>
            <w:r>
              <w:rPr>
                <w:rFonts w:ascii="Arial" w:cs="Arial" w:eastAsia="Arial" w:hAnsi="Arial"/>
                <w:color w:val="595959"/>
                <w:sz w:val="18"/>
                <w:szCs w:val="18"/>
              </w:rPr>
              <w:t xml:space="preserve">of deliveries covered by a completed, signed-off digital audit record</w:t>
            </w:r>
          </w:p>
        </w:tc>
        <w:tc>
          <w:tcPr>
            <w:tcW w:type="dxa" w:w="3000"/>
            <w:tcBorders>
              <w:top w:val="none" w:color="FFFFFF" w:sz="0"/>
              <w:left w:val="single" w:color="C0202A" w:sz="8"/>
              <w:bottom w:val="none" w:color="FFFFFF" w:sz="0"/>
              <w:right w:val="none" w:color="FFFFFF" w:sz="0"/>
            </w:tcBorders>
            <w:shd w:fill="F9E8E9" w:val="clear"/>
            <w:tcMar>
              <w:top w:type="dxa" w:w="120"/>
              <w:left w:type="dxa" w:w="180"/>
              <w:bottom w:type="dxa" w:w="120"/>
              <w:right w:type="dxa" w:w="180"/>
            </w:tcMar>
          </w:tcPr>
          <w:p>
            <w:r>
              <w:rPr>
                <w:rFonts w:ascii="Arial" w:cs="Arial" w:eastAsia="Arial" w:hAnsi="Arial"/>
                <w:b/>
                <w:bCs/>
                <w:color w:val="C0202A"/>
                <w:sz w:val="36"/>
                <w:szCs w:val="36"/>
              </w:rPr>
              <w:t xml:space="preserve">Minutes</w:t>
            </w:r>
          </w:p>
          <w:p>
            <w:r>
              <w:rPr>
                <w:rFonts w:ascii="Arial" w:cs="Arial" w:eastAsia="Arial" w:hAnsi="Arial"/>
                <w:color w:val="595959"/>
                <w:sz w:val="18"/>
                <w:szCs w:val="18"/>
              </w:rPr>
              <w:t xml:space="preserve">to produce a complete CIP audit history for any vessel for regulatory or customer inspection</w:t>
            </w:r>
          </w:p>
        </w:tc>
      </w:tr>
    </w:tbl>
    <w:p>
      <w:pPr>
        <w:spacing w:after="160" w:before="0"/>
      </w:pPr>
      <w:r>
        <w:t xml:space="preserve"/>
      </w:r>
    </w:p>
    <w:p>
      <w:pPr>
        <w:spacing w:after="80" w:before="200"/>
      </w:pPr>
      <w:r>
        <w:rPr>
          <w:rFonts w:ascii="Arial" w:cs="Arial" w:eastAsia="Arial" w:hAnsi="Arial"/>
          <w:b/>
          <w:bCs/>
          <w:color w:val="2C2C2C"/>
          <w:sz w:val="24"/>
          <w:szCs w:val="24"/>
        </w:rPr>
        <w:t xml:space="preserve">Wider Operational Benefits</w:t>
      </w:r>
    </w:p>
    <w:p>
      <w:pPr>
        <w:pStyle w:val="ListParagraph"/>
        <w:numPr>
          <w:ilvl w:val="0"/>
          <w:numId w:val="2"/>
        </w:numPr>
        <w:spacing w:after="80" w:before="0"/>
      </w:pPr>
      <w:r>
        <w:rPr>
          <w:rFonts w:ascii="Arial" w:cs="Arial" w:eastAsia="Arial" w:hAnsi="Arial"/>
          <w:color w:val="595959"/>
          <w:sz w:val="22"/>
          <w:szCs w:val="22"/>
        </w:rPr>
        <w:t xml:space="preserve">Supervisors have confidence that no delivery can proceed to an uncleared vessel — the process is enforced by the system, not reliant on individual memory</w:t>
      </w:r>
    </w:p>
    <w:p>
      <w:pPr>
        <w:pStyle w:val="ListParagraph"/>
        <w:numPr>
          <w:ilvl w:val="0"/>
          <w:numId w:val="2"/>
        </w:numPr>
        <w:spacing w:after="80" w:before="0"/>
      </w:pPr>
      <w:r>
        <w:rPr>
          <w:rFonts w:ascii="Arial" w:cs="Arial" w:eastAsia="Arial" w:hAnsi="Arial"/>
          <w:color w:val="595959"/>
          <w:sz w:val="22"/>
          <w:szCs w:val="22"/>
        </w:rPr>
        <w:t xml:space="preserve">Quality and food safety teams have a complete, exportable audit trail for every vessel — readily available for BRC, FSSC 22000, and customer audits</w:t>
      </w:r>
    </w:p>
    <w:p>
      <w:pPr>
        <w:pStyle w:val="ListParagraph"/>
        <w:numPr>
          <w:ilvl w:val="0"/>
          <w:numId w:val="2"/>
        </w:numPr>
        <w:spacing w:after="80" w:before="0"/>
      </w:pPr>
      <w:r>
        <w:rPr>
          <w:rFonts w:ascii="Arial" w:cs="Arial" w:eastAsia="Arial" w:hAnsi="Arial"/>
          <w:color w:val="595959"/>
          <w:sz w:val="22"/>
          <w:szCs w:val="22"/>
        </w:rPr>
        <w:t xml:space="preserve">Shift handovers are cleaner — incoming operators see the current CIP status of every vessel on the dashboard without needing a verbal briefing</w:t>
      </w:r>
    </w:p>
    <w:p>
      <w:pPr>
        <w:pStyle w:val="ListParagraph"/>
        <w:numPr>
          <w:ilvl w:val="0"/>
          <w:numId w:val="2"/>
        </w:numPr>
        <w:spacing w:after="80" w:before="0"/>
      </w:pPr>
      <w:r>
        <w:rPr>
          <w:rFonts w:ascii="Arial" w:cs="Arial" w:eastAsia="Arial" w:hAnsi="Arial"/>
          <w:color w:val="595959"/>
          <w:sz w:val="22"/>
          <w:szCs w:val="22"/>
        </w:rPr>
        <w:t xml:space="preserve">The checklist process has standardised CIP sign-off across all shifts and all operators — reducing variability in how the procedure is followed</w:t>
      </w:r>
    </w:p>
    <w:p>
      <w:pPr>
        <w:pStyle w:val="ListParagraph"/>
        <w:numPr>
          <w:ilvl w:val="0"/>
          <w:numId w:val="2"/>
        </w:numPr>
        <w:spacing w:after="80" w:before="0"/>
      </w:pPr>
      <w:r>
        <w:rPr>
          <w:rFonts w:ascii="Arial" w:cs="Arial" w:eastAsia="Arial" w:hAnsi="Arial"/>
          <w:color w:val="595959"/>
          <w:sz w:val="22"/>
          <w:szCs w:val="22"/>
        </w:rPr>
        <w:t xml:space="preserve">Management visibility has improved — site managers can see CIP compliance rates across vessels and shifts from any location</w:t>
      </w:r>
    </w:p>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FOOD SAFETY &amp; COMPLIANCE IMPACT</w:t>
      </w:r>
    </w:p>
    <w:p>
      <w:pPr>
        <w:spacing w:after="120" w:before="0"/>
      </w:pPr>
      <w:r>
        <w:rPr>
          <w:rFonts w:ascii="Arial" w:cs="Arial" w:eastAsia="Arial" w:hAnsi="Arial"/>
          <w:color w:val="595959"/>
          <w:sz w:val="22"/>
          <w:szCs w:val="22"/>
        </w:rPr>
        <w:t xml:space="preserve">In regulated food and beverage environments, the ability to demonstrate that a process was followed — not just assert that it was — is increasingly critical. Customer audits, BRC certification, and FSSC 22000 requirements all demand evidence.</w:t>
      </w:r>
    </w:p>
    <w:p>
      <w:pPr>
        <w:spacing w:after="80" w:before="0"/>
      </w:pPr>
      <w:r>
        <w:t xml:space="preserve"/>
      </w:r>
    </w:p>
    <w:p>
      <w:pPr>
        <w:spacing w:after="120" w:before="0"/>
      </w:pPr>
      <w:r>
        <w:rPr>
          <w:rFonts w:ascii="Arial" w:cs="Arial" w:eastAsia="Arial" w:hAnsi="Arial"/>
          <w:color w:val="595959"/>
          <w:sz w:val="22"/>
          <w:szCs w:val="22"/>
        </w:rPr>
        <w:t xml:space="preserve">The AGAD pre-receipt audit system provides that evidence automatically. Every audit record is:</w:t>
      </w:r>
    </w:p>
    <w:p>
      <w:pPr>
        <w:spacing w:after="60" w:before="0"/>
      </w:pPr>
      <w:r>
        <w:t xml:space="preserve"/>
      </w:r>
    </w:p>
    <w:p>
      <w:pPr>
        <w:pStyle w:val="ListParagraph"/>
        <w:numPr>
          <w:ilvl w:val="0"/>
          <w:numId w:val="2"/>
        </w:numPr>
        <w:spacing w:after="80" w:before="0"/>
      </w:pPr>
      <w:r>
        <w:rPr>
          <w:rFonts w:ascii="Arial" w:cs="Arial" w:eastAsia="Arial" w:hAnsi="Arial"/>
          <w:color w:val="595959"/>
          <w:sz w:val="22"/>
          <w:szCs w:val="22"/>
        </w:rPr>
        <w:t xml:space="preserve">Time and date stamped — to the minute</w:t>
      </w:r>
    </w:p>
    <w:p>
      <w:pPr>
        <w:pStyle w:val="ListParagraph"/>
        <w:numPr>
          <w:ilvl w:val="0"/>
          <w:numId w:val="2"/>
        </w:numPr>
        <w:spacing w:after="80" w:before="0"/>
      </w:pPr>
      <w:r>
        <w:rPr>
          <w:rFonts w:ascii="Arial" w:cs="Arial" w:eastAsia="Arial" w:hAnsi="Arial"/>
          <w:color w:val="595959"/>
          <w:sz w:val="22"/>
          <w:szCs w:val="22"/>
        </w:rPr>
        <w:t xml:space="preserve">Linked to a named operator and named approver — no anonymous sign-offs</w:t>
      </w:r>
    </w:p>
    <w:p>
      <w:pPr>
        <w:pStyle w:val="ListParagraph"/>
        <w:numPr>
          <w:ilvl w:val="0"/>
          <w:numId w:val="2"/>
        </w:numPr>
        <w:spacing w:after="80" w:before="0"/>
      </w:pPr>
      <w:r>
        <w:rPr>
          <w:rFonts w:ascii="Arial" w:cs="Arial" w:eastAsia="Arial" w:hAnsi="Arial"/>
          <w:color w:val="595959"/>
          <w:sz w:val="22"/>
          <w:szCs w:val="22"/>
        </w:rPr>
        <w:t xml:space="preserve">Stored against the specific vessel asset — instantly retrievable by vessel, by date, or by operator</w:t>
      </w:r>
    </w:p>
    <w:p>
      <w:pPr>
        <w:pStyle w:val="ListParagraph"/>
        <w:numPr>
          <w:ilvl w:val="0"/>
          <w:numId w:val="2"/>
        </w:numPr>
        <w:spacing w:after="80" w:before="0"/>
      </w:pPr>
      <w:r>
        <w:rPr>
          <w:rFonts w:ascii="Arial" w:cs="Arial" w:eastAsia="Arial" w:hAnsi="Arial"/>
          <w:color w:val="595959"/>
          <w:sz w:val="22"/>
          <w:szCs w:val="22"/>
        </w:rPr>
        <w:t xml:space="preserve">Exportable in structured format for audit submissions or regulatory requests</w:t>
      </w:r>
    </w:p>
    <w:p>
      <w:pPr>
        <w:spacing w:after="8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color="FFFFFF" w:sz="0"/>
              <w:left w:val="single" w:color="C0202A" w:sz="24"/>
              <w:bottom w:val="none" w:color="FFFFFF" w:sz="0"/>
              <w:right w:val="none" w:color="FFFFFF" w:sz="0"/>
            </w:tcBorders>
            <w:shd w:fill="F5F5F5" w:val="clear"/>
            <w:tcMar>
              <w:top w:type="dxa" w:w="160"/>
              <w:left w:type="dxa" w:w="240"/>
              <w:bottom w:type="dxa" w:w="160"/>
              <w:right w:type="dxa" w:w="240"/>
            </w:tcMar>
          </w:tcPr>
          <w:p>
            <w:r>
              <w:rPr>
                <w:rFonts w:ascii="Arial" w:cs="Arial" w:eastAsia="Arial" w:hAnsi="Arial"/>
                <w:i/>
                <w:iCs/>
                <w:color w:val="2C2C2C"/>
                <w:sz w:val="22"/>
                <w:szCs w:val="22"/>
              </w:rPr>
              <w:t xml:space="preserve">What previously required locating paper records from multiple shifts and manually verifying sign-off chains now takes seconds. The audit history is complete, structured, and always available.</w:t>
            </w:r>
          </w:p>
        </w:tc>
      </w:tr>
    </w:tbl>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EXPANDING THE SOLUTION</w:t>
      </w:r>
    </w:p>
    <w:p>
      <w:pPr>
        <w:spacing w:after="120" w:before="0"/>
      </w:pPr>
      <w:r>
        <w:rPr>
          <w:rFonts w:ascii="Arial" w:cs="Arial" w:eastAsia="Arial" w:hAnsi="Arial"/>
          <w:color w:val="595959"/>
          <w:sz w:val="22"/>
          <w:szCs w:val="22"/>
        </w:rPr>
        <w:t xml:space="preserve">The CIP audit module is one component of AGAD's broader Quality and Asset Care capability. Following the success of the pre-receipt audit deployment, this dairy client is now exploring:</w:t>
      </w:r>
    </w:p>
    <w:p>
      <w:pPr>
        <w:spacing w:after="80" w:before="0"/>
      </w:pPr>
      <w:r>
        <w:t xml:space="preserve"/>
      </w:r>
    </w:p>
    <w:p>
      <w:pPr>
        <w:pStyle w:val="ListParagraph"/>
        <w:numPr>
          <w:ilvl w:val="0"/>
          <w:numId w:val="2"/>
        </w:numPr>
        <w:spacing w:after="80" w:before="0"/>
      </w:pPr>
      <w:r>
        <w:rPr>
          <w:rFonts w:ascii="Arial" w:cs="Arial" w:eastAsia="Arial" w:hAnsi="Arial"/>
          <w:color w:val="595959"/>
          <w:sz w:val="22"/>
          <w:szCs w:val="22"/>
        </w:rPr>
        <w:t xml:space="preserve">Extending the digital audit process to other critical control points — pasteuriser checks, separator inspections, and packaging line changeovers</w:t>
      </w:r>
    </w:p>
    <w:p>
      <w:pPr>
        <w:pStyle w:val="ListParagraph"/>
        <w:numPr>
          <w:ilvl w:val="0"/>
          <w:numId w:val="2"/>
        </w:numPr>
        <w:spacing w:after="80" w:before="0"/>
      </w:pPr>
      <w:r>
        <w:rPr>
          <w:rFonts w:ascii="Arial" w:cs="Arial" w:eastAsia="Arial" w:hAnsi="Arial"/>
          <w:color w:val="595959"/>
          <w:sz w:val="22"/>
          <w:szCs w:val="22"/>
        </w:rPr>
        <w:t xml:space="preserve">Integrating CIP cycle data directly from the CIP controller into the audit record — automating confirmation of cycle parameters such as temperature, flow rate, and chemical concentration</w:t>
      </w:r>
    </w:p>
    <w:p>
      <w:pPr>
        <w:pStyle w:val="ListParagraph"/>
        <w:numPr>
          <w:ilvl w:val="0"/>
          <w:numId w:val="2"/>
        </w:numPr>
        <w:spacing w:after="80" w:before="0"/>
      </w:pPr>
      <w:r>
        <w:rPr>
          <w:rFonts w:ascii="Arial" w:cs="Arial" w:eastAsia="Arial" w:hAnsi="Arial"/>
          <w:color w:val="595959"/>
          <w:sz w:val="22"/>
          <w:szCs w:val="22"/>
        </w:rPr>
        <w:t xml:space="preserve">Calibration management — linking conductivity and temperature sensor calibration records to the vessels they serve, ensuring audit evidence includes instrument validity</w:t>
      </w:r>
    </w:p>
    <w:p>
      <w:pPr>
        <w:pStyle w:val="ListParagraph"/>
        <w:numPr>
          <w:ilvl w:val="0"/>
          <w:numId w:val="2"/>
        </w:numPr>
        <w:spacing w:after="80" w:before="0"/>
      </w:pPr>
      <w:r>
        <w:rPr>
          <w:rFonts w:ascii="Arial" w:cs="Arial" w:eastAsia="Arial" w:hAnsi="Arial"/>
          <w:color w:val="595959"/>
          <w:sz w:val="22"/>
          <w:szCs w:val="22"/>
        </w:rPr>
        <w:t xml:space="preserve">Connecting tank level and temperature monitoring to the same vessel asset — building a complete digital record of each vessel's history from cleaning through receipt through processing</w:t>
      </w:r>
    </w:p>
    <w:p>
      <w:pPr>
        <w:spacing w:after="200" w:before="0"/>
      </w:pPr>
      <w:r>
        <w:t xml:space="preserve"/>
      </w:r>
    </w:p>
    <w:p>
      <w:pPr>
        <w:pBdr>
          <w:bottom w:val="single" w:color="C0202A" w:sz="8"/>
        </w:pBdr>
        <w:spacing w:after="160" w:before="320"/>
      </w:pPr>
      <w:r>
        <w:rPr>
          <w:rFonts w:ascii="Arial" w:cs="Arial" w:eastAsia="Arial" w:hAnsi="Arial"/>
          <w:b/>
          <w:bCs/>
          <w:color w:val="C0202A"/>
          <w:spacing w:val="40"/>
          <w:sz w:val="22"/>
          <w:szCs w:val="22"/>
        </w:rPr>
        <w:t xml:space="preserve">FIND OUT MORE</w:t>
      </w:r>
    </w:p>
    <w:p>
      <w:pPr>
        <w:spacing w:after="120" w:before="0"/>
      </w:pPr>
      <w:r>
        <w:rPr>
          <w:rFonts w:ascii="Arial" w:cs="Arial" w:eastAsia="Arial" w:hAnsi="Arial"/>
          <w:color w:val="595959"/>
          <w:sz w:val="22"/>
          <w:szCs w:val="22"/>
        </w:rPr>
        <w:t xml:space="preserve">If your dairy or food and beverage operation relies on manual CIP sign-off processes, AGAD Portal can help you eliminate the risk of human error and build the audit trail your compliance obligations demand.</w:t>
      </w:r>
    </w:p>
    <w:p>
      <w:pPr>
        <w:spacing w:after="80" w:before="0"/>
      </w:pPr>
      <w:r>
        <w:t xml:space="preserve"/>
      </w:r>
    </w:p>
    <w:p>
      <w:pPr>
        <w:spacing w:after="120" w:before="0"/>
      </w:pPr>
      <w:r>
        <w:rPr>
          <w:rFonts w:ascii="Arial" w:cs="Arial" w:eastAsia="Arial" w:hAnsi="Arial"/>
          <w:color w:val="595959"/>
          <w:sz w:val="22"/>
          <w:szCs w:val="22"/>
        </w:rPr>
        <w:t xml:space="preserve">We offer a focused Proof of Concept deployment — live in days, with immediate impact on your CIP compliance process and food safety governance.</w:t>
      </w:r>
    </w:p>
    <w:p>
      <w:pPr>
        <w:spacing w:after="160" w:before="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none" w:color="FFFFFF" w:sz="0"/>
              <w:left w:val="none" w:color="FFFFFF" w:sz="0"/>
              <w:bottom w:val="none" w:color="FFFFFF" w:sz="0"/>
              <w:right w:val="none" w:color="FFFFFF" w:sz="0"/>
            </w:tcBorders>
            <w:shd w:fill="C0202A" w:val="clear"/>
            <w:tcMar>
              <w:top w:type="dxa" w:w="200"/>
              <w:left w:type="dxa" w:w="240"/>
              <w:bottom w:type="dxa" w:w="200"/>
              <w:right w:type="dxa" w:w="240"/>
            </w:tcMar>
          </w:tcPr>
          <w:p>
            <w:r>
              <w:rPr>
                <w:rFonts w:ascii="Arial" w:cs="Arial" w:eastAsia="Arial" w:hAnsi="Arial"/>
                <w:b/>
                <w:bCs/>
                <w:color w:val="FFFFFF"/>
                <w:sz w:val="26"/>
                <w:szCs w:val="26"/>
              </w:rPr>
              <w:t xml:space="preserve">Get in touch</w:t>
            </w:r>
          </w:p>
          <w:p>
            <w:pPr>
              <w:spacing w:after="60" w:before="0"/>
            </w:pPr>
            <w:r>
              <w:t xml:space="preserve"/>
            </w:r>
          </w:p>
          <w:p>
            <w:r>
              <w:rPr>
                <w:rFonts w:ascii="Arial" w:cs="Arial" w:eastAsia="Arial" w:hAnsi="Arial"/>
                <w:color w:val="FFFFFF"/>
                <w:sz w:val="20"/>
                <w:szCs w:val="20"/>
              </w:rPr>
              <w:t xml:space="preserve">agad@listo-ltd.com</w:t>
            </w:r>
          </w:p>
          <w:p>
            <w:r>
              <w:rPr>
                <w:rFonts w:ascii="Arial" w:cs="Arial" w:eastAsia="Arial" w:hAnsi="Arial"/>
                <w:color w:val="FFFFFF"/>
                <w:sz w:val="20"/>
                <w:szCs w:val="20"/>
              </w:rPr>
              <w:t xml:space="preserve">+44 (0) 2892 674280</w:t>
            </w:r>
          </w:p>
          <w:p>
            <w:r>
              <w:rPr>
                <w:rFonts w:ascii="Arial" w:cs="Arial" w:eastAsia="Arial" w:hAnsi="Arial"/>
                <w:color w:val="FFFFFF"/>
                <w:sz w:val="20"/>
                <w:szCs w:val="20"/>
              </w:rPr>
              <w:t xml:space="preserve">agad-portal.com</w:t>
            </w:r>
          </w:p>
          <w:p>
            <w:r>
              <w:rPr>
                <w:rFonts w:ascii="Arial" w:cs="Arial" w:eastAsia="Arial" w:hAnsi="Arial"/>
                <w:color w:val="FFFFFF"/>
                <w:sz w:val="20"/>
                <w:szCs w:val="20"/>
              </w:rPr>
              <w:t xml:space="preserve">www.listo-ltd.com/request-demo</w:t>
            </w:r>
          </w:p>
        </w:tc>
        <w:tc>
          <w:tcPr>
            <w:tcW w:type="dxa" w:w="4500"/>
            <w:tcBorders>
              <w:top w:val="none" w:color="FFFFFF" w:sz="0"/>
              <w:left w:val="none" w:color="FFFFFF" w:sz="0"/>
              <w:bottom w:val="none" w:color="FFFFFF" w:sz="0"/>
              <w:right w:val="none" w:color="FFFFFF" w:sz="0"/>
            </w:tcBorders>
            <w:shd w:fill="F5F5F5" w:val="clear"/>
            <w:tcMar>
              <w:top w:type="dxa" w:w="200"/>
              <w:left w:type="dxa" w:w="240"/>
              <w:bottom w:type="dxa" w:w="200"/>
              <w:right w:type="dxa" w:w="240"/>
            </w:tcMar>
          </w:tcPr>
          <w:p>
            <w:r>
              <w:rPr>
                <w:rFonts w:ascii="Arial" w:cs="Arial" w:eastAsia="Arial" w:hAnsi="Arial"/>
                <w:b/>
                <w:bCs/>
                <w:color w:val="2C2C2C"/>
                <w:sz w:val="26"/>
                <w:szCs w:val="26"/>
              </w:rPr>
              <w:t xml:space="preserve">Listo Ltd</w:t>
            </w:r>
          </w:p>
          <w:p>
            <w:pPr>
              <w:spacing w:after="60" w:before="0"/>
            </w:pPr>
            <w:r>
              <w:t xml:space="preserve"/>
            </w:r>
          </w:p>
          <w:p>
            <w:r>
              <w:rPr>
                <w:rFonts w:ascii="Arial" w:cs="Arial" w:eastAsia="Arial" w:hAnsi="Arial"/>
                <w:color w:val="595959"/>
                <w:sz w:val="20"/>
                <w:szCs w:val="20"/>
              </w:rPr>
              <w:t xml:space="preserve">18 Bachelors Walk</w:t>
            </w:r>
          </w:p>
          <w:p>
            <w:r>
              <w:rPr>
                <w:rFonts w:ascii="Arial" w:cs="Arial" w:eastAsia="Arial" w:hAnsi="Arial"/>
                <w:color w:val="595959"/>
                <w:sz w:val="20"/>
                <w:szCs w:val="20"/>
              </w:rPr>
              <w:t xml:space="preserve">Lisburn, Co. Antrim</w:t>
            </w:r>
          </w:p>
          <w:p>
            <w:r>
              <w:rPr>
                <w:rFonts w:ascii="Arial" w:cs="Arial" w:eastAsia="Arial" w:hAnsi="Arial"/>
                <w:color w:val="595959"/>
                <w:sz w:val="20"/>
                <w:szCs w:val="20"/>
              </w:rPr>
              <w:t xml:space="preserve">BT28 1XJ, United Kingdom</w:t>
            </w:r>
          </w:p>
          <w:p>
            <w:pPr>
              <w:spacing w:after="60" w:before="0"/>
            </w:pPr>
            <w:r>
              <w:t xml:space="preserve"/>
            </w:r>
          </w:p>
          <w:p>
            <w:r>
              <w:rPr>
                <w:rFonts w:ascii="Arial" w:cs="Arial" w:eastAsia="Arial" w:hAnsi="Arial"/>
                <w:i/>
                <w:iCs/>
                <w:color w:val="999999"/>
                <w:sz w:val="18"/>
                <w:szCs w:val="18"/>
              </w:rPr>
              <w:t xml:space="preserve">Manufacturer of the AGAD Portal</w:t>
            </w:r>
          </w:p>
        </w:tc>
      </w:tr>
    </w:tbl>
    <w:p>
      <w:pPr>
        <w:spacing w:after="120" w:before="0"/>
      </w:pPr>
      <w:r>
        <w:t xml:space="preserve"/>
      </w:r>
    </w:p>
    <w:p>
      <w:pPr>
        <w:spacing w:after="0" w:before="120"/>
        <w:jc w:val="center"/>
      </w:pPr>
      <w:r>
        <w:rPr>
          <w:rFonts w:ascii="Arial" w:cs="Arial" w:eastAsia="Arial" w:hAnsi="Arial"/>
          <w:i/>
          <w:iCs/>
          <w:color w:val="AAAAAA"/>
          <w:sz w:val="16"/>
          <w:szCs w:val="16"/>
        </w:rPr>
        <w:t xml:space="preserve">AGAD Portal is a registered product of Listo Ltd. All rights reserved.</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95959"/>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2C2C2C"/>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2026-06-09T12:57:18.752Z</dcterms:created>
  <dcterms:modified xsi:type="dcterms:W3CDTF">2026-06-09T12:57:18.767Z</dcterms:modified>
</cp:coreProperties>
</file>

<file path=docProps/custom.xml><?xml version="1.0" encoding="utf-8"?>
<Properties xmlns="http://schemas.openxmlformats.org/officeDocument/2006/custom-properties" xmlns:vt="http://schemas.openxmlformats.org/officeDocument/2006/docPropsVTypes"/>
</file>